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1861" w14:textId="77777777" w:rsidR="00EF59B6" w:rsidRDefault="001730ED" w:rsidP="001730ED">
      <w:pPr>
        <w:jc w:val="center"/>
        <w:rPr>
          <w:b/>
          <w:bCs/>
          <w:caps/>
          <w:sz w:val="48"/>
          <w:szCs w:val="48"/>
        </w:rPr>
      </w:pPr>
      <w:r w:rsidRPr="00452B5C">
        <w:rPr>
          <w:b/>
          <w:bCs/>
          <w:caps/>
          <w:sz w:val="48"/>
          <w:szCs w:val="48"/>
        </w:rPr>
        <w:t xml:space="preserve">Clinical Pharmacist </w:t>
      </w:r>
    </w:p>
    <w:p w14:paraId="21A211F3" w14:textId="5777DFC3" w:rsidR="001730ED" w:rsidRPr="00452B5C" w:rsidRDefault="001730ED" w:rsidP="001730ED">
      <w:pPr>
        <w:jc w:val="center"/>
        <w:rPr>
          <w:b/>
          <w:bCs/>
          <w:caps/>
          <w:sz w:val="48"/>
          <w:szCs w:val="48"/>
        </w:rPr>
      </w:pPr>
      <w:r w:rsidRPr="00452B5C">
        <w:rPr>
          <w:b/>
          <w:bCs/>
          <w:caps/>
          <w:sz w:val="48"/>
          <w:szCs w:val="48"/>
        </w:rPr>
        <w:t>Collaborative Practice Agreement Template</w:t>
      </w:r>
    </w:p>
    <w:p w14:paraId="36D72ACA" w14:textId="77777777" w:rsidR="009F1B05" w:rsidRDefault="009F1B05" w:rsidP="001730ED">
      <w:pPr>
        <w:jc w:val="center"/>
        <w:rPr>
          <w:b/>
          <w:bCs/>
          <w:caps/>
        </w:rPr>
      </w:pPr>
    </w:p>
    <w:p w14:paraId="1D4ED046" w14:textId="463315B2" w:rsidR="009F1B05" w:rsidRDefault="009F1B05" w:rsidP="001730ED">
      <w:pPr>
        <w:jc w:val="center"/>
        <w:rPr>
          <w:b/>
          <w:bCs/>
          <w:caps/>
        </w:rPr>
      </w:pPr>
      <w:r>
        <w:rPr>
          <w:b/>
          <w:bCs/>
          <w:caps/>
          <w:noProof/>
        </w:rPr>
        <w:drawing>
          <wp:inline distT="0" distB="0" distL="0" distR="0" wp14:anchorId="30D41ED0" wp14:editId="50C4E8F8">
            <wp:extent cx="3709987" cy="1707942"/>
            <wp:effectExtent l="0" t="0" r="5080" b="6985"/>
            <wp:docPr id="164567248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72482" name="Picture 1"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0366" cy="1712720"/>
                    </a:xfrm>
                    <a:prstGeom prst="rect">
                      <a:avLst/>
                    </a:prstGeom>
                  </pic:spPr>
                </pic:pic>
              </a:graphicData>
            </a:graphic>
          </wp:inline>
        </w:drawing>
      </w:r>
    </w:p>
    <w:p w14:paraId="7C3362A5" w14:textId="77777777" w:rsidR="001730ED" w:rsidRDefault="001730ED" w:rsidP="001730ED">
      <w:pPr>
        <w:jc w:val="center"/>
        <w:rPr>
          <w:b/>
          <w:bCs/>
          <w:caps/>
        </w:rPr>
      </w:pPr>
    </w:p>
    <w:p w14:paraId="0718E8E5" w14:textId="77777777" w:rsidR="00EF59B6" w:rsidRDefault="00EF59B6" w:rsidP="001730ED">
      <w:pPr>
        <w:jc w:val="center"/>
        <w:rPr>
          <w:b/>
          <w:bCs/>
          <w:caps/>
        </w:rPr>
      </w:pPr>
    </w:p>
    <w:p w14:paraId="01086C0F" w14:textId="77777777" w:rsidR="00EF59B6" w:rsidRDefault="00EF59B6" w:rsidP="001730ED">
      <w:pPr>
        <w:jc w:val="center"/>
        <w:rPr>
          <w:b/>
          <w:bCs/>
          <w:caps/>
        </w:rPr>
      </w:pPr>
    </w:p>
    <w:p w14:paraId="439B037E" w14:textId="77777777" w:rsidR="00EF59B6" w:rsidRDefault="00EF59B6" w:rsidP="001730ED">
      <w:pPr>
        <w:jc w:val="center"/>
        <w:rPr>
          <w:b/>
          <w:bCs/>
          <w:caps/>
        </w:rPr>
      </w:pPr>
    </w:p>
    <w:p w14:paraId="70B8276B" w14:textId="77777777" w:rsidR="00EF59B6" w:rsidRDefault="00EF59B6" w:rsidP="001730ED">
      <w:pPr>
        <w:jc w:val="center"/>
        <w:rPr>
          <w:b/>
          <w:bCs/>
          <w:caps/>
        </w:rPr>
      </w:pPr>
    </w:p>
    <w:p w14:paraId="4E6E1B73" w14:textId="77777777" w:rsidR="00EF59B6" w:rsidRDefault="00EF59B6" w:rsidP="001730ED">
      <w:pPr>
        <w:jc w:val="center"/>
        <w:rPr>
          <w:b/>
          <w:bCs/>
          <w:caps/>
        </w:rPr>
      </w:pPr>
    </w:p>
    <w:p w14:paraId="7116619C" w14:textId="77777777" w:rsidR="00EF59B6" w:rsidRDefault="00EF59B6" w:rsidP="001730ED">
      <w:pPr>
        <w:jc w:val="center"/>
        <w:rPr>
          <w:b/>
          <w:bCs/>
          <w:caps/>
        </w:rPr>
      </w:pPr>
    </w:p>
    <w:p w14:paraId="09E34E02" w14:textId="77777777" w:rsidR="00EF59B6" w:rsidRDefault="00EF59B6" w:rsidP="001730ED">
      <w:pPr>
        <w:jc w:val="center"/>
        <w:rPr>
          <w:b/>
          <w:bCs/>
          <w:caps/>
        </w:rPr>
      </w:pPr>
    </w:p>
    <w:p w14:paraId="24AABCBD" w14:textId="77777777" w:rsidR="00EF59B6" w:rsidRDefault="00EF59B6" w:rsidP="001730ED">
      <w:pPr>
        <w:jc w:val="center"/>
        <w:rPr>
          <w:b/>
          <w:bCs/>
          <w:caps/>
        </w:rPr>
      </w:pPr>
    </w:p>
    <w:p w14:paraId="2B12D640" w14:textId="77777777" w:rsidR="00EF59B6" w:rsidRDefault="00EF59B6" w:rsidP="001730ED">
      <w:pPr>
        <w:jc w:val="center"/>
        <w:rPr>
          <w:b/>
          <w:bCs/>
          <w:caps/>
        </w:rPr>
      </w:pPr>
    </w:p>
    <w:p w14:paraId="18217DDD" w14:textId="77777777" w:rsidR="00B574DA" w:rsidRDefault="00B574DA" w:rsidP="001730ED">
      <w:pPr>
        <w:jc w:val="center"/>
        <w:rPr>
          <w:b/>
          <w:bCs/>
          <w:caps/>
        </w:rPr>
      </w:pPr>
    </w:p>
    <w:p w14:paraId="342A0B59" w14:textId="77777777" w:rsidR="00B574DA" w:rsidRDefault="00B574DA" w:rsidP="001730ED">
      <w:pPr>
        <w:jc w:val="center"/>
        <w:rPr>
          <w:b/>
          <w:bCs/>
          <w:caps/>
        </w:rPr>
      </w:pPr>
    </w:p>
    <w:p w14:paraId="45A5C16B" w14:textId="77777777" w:rsidR="00B574DA" w:rsidRDefault="00B574DA" w:rsidP="001730ED">
      <w:pPr>
        <w:jc w:val="center"/>
        <w:rPr>
          <w:b/>
          <w:bCs/>
          <w:caps/>
        </w:rPr>
      </w:pPr>
    </w:p>
    <w:p w14:paraId="5D7841E1" w14:textId="1F54CE9D" w:rsidR="00EF59B6" w:rsidRDefault="00B07DB0" w:rsidP="001730ED">
      <w:pPr>
        <w:jc w:val="center"/>
        <w:rPr>
          <w:b/>
          <w:bCs/>
          <w:caps/>
        </w:rPr>
      </w:pPr>
      <w:r>
        <w:t>© 2025 AMERICAN COLLEGE OF CLINICAL PHARMACY</w:t>
      </w:r>
    </w:p>
    <w:p w14:paraId="32E81C61" w14:textId="70475406" w:rsidR="001730ED" w:rsidRDefault="001730ED" w:rsidP="001730ED">
      <w:pPr>
        <w:jc w:val="center"/>
        <w:rPr>
          <w:b/>
          <w:bCs/>
          <w:caps/>
        </w:rPr>
      </w:pPr>
      <w:r>
        <w:rPr>
          <w:b/>
          <w:bCs/>
          <w:caps/>
        </w:rPr>
        <w:br w:type="page"/>
      </w:r>
    </w:p>
    <w:p w14:paraId="56736602" w14:textId="77777777" w:rsidR="001B6A64" w:rsidRPr="007860C4" w:rsidRDefault="001B6A64" w:rsidP="001B6A64">
      <w:pPr>
        <w:pBdr>
          <w:top w:val="nil"/>
          <w:left w:val="nil"/>
          <w:bottom w:val="nil"/>
          <w:right w:val="nil"/>
          <w:between w:val="nil"/>
        </w:pBdr>
        <w:spacing w:after="0" w:line="240" w:lineRule="auto"/>
        <w:jc w:val="both"/>
        <w:rPr>
          <w:rFonts w:eastAsia="Times New Roman" w:cstheme="minorHAnsi"/>
          <w:b/>
          <w:bCs/>
          <w:color w:val="000000"/>
          <w:sz w:val="24"/>
          <w:szCs w:val="24"/>
        </w:rPr>
      </w:pPr>
      <w:r w:rsidRPr="007860C4">
        <w:rPr>
          <w:rFonts w:eastAsia="Times New Roman" w:cstheme="minorHAnsi"/>
          <w:b/>
          <w:bCs/>
          <w:color w:val="000000"/>
          <w:sz w:val="24"/>
          <w:szCs w:val="24"/>
        </w:rPr>
        <w:lastRenderedPageBreak/>
        <w:t>Collaborative Practice Agreement Template Instructions and Guidance</w:t>
      </w:r>
    </w:p>
    <w:p w14:paraId="241D3CE2" w14:textId="77777777" w:rsidR="001B6A64" w:rsidRPr="007860C4" w:rsidRDefault="001B6A64" w:rsidP="001B6A64">
      <w:pPr>
        <w:pBdr>
          <w:top w:val="nil"/>
          <w:left w:val="nil"/>
          <w:bottom w:val="nil"/>
          <w:right w:val="nil"/>
          <w:between w:val="nil"/>
        </w:pBdr>
        <w:spacing w:after="0" w:line="240" w:lineRule="auto"/>
        <w:jc w:val="both"/>
        <w:rPr>
          <w:rFonts w:eastAsia="Times New Roman" w:cstheme="minorHAnsi"/>
          <w:color w:val="000000"/>
          <w:sz w:val="24"/>
          <w:szCs w:val="24"/>
        </w:rPr>
      </w:pPr>
    </w:p>
    <w:p w14:paraId="10B581FF" w14:textId="77777777" w:rsidR="001B6A64" w:rsidRPr="007860C4" w:rsidRDefault="001B6A64" w:rsidP="001B6A64">
      <w:pPr>
        <w:pBdr>
          <w:top w:val="nil"/>
          <w:left w:val="nil"/>
          <w:bottom w:val="nil"/>
          <w:right w:val="nil"/>
          <w:between w:val="nil"/>
        </w:pBdr>
        <w:spacing w:after="0" w:line="240" w:lineRule="auto"/>
        <w:jc w:val="both"/>
        <w:rPr>
          <w:rFonts w:eastAsia="Times New Roman" w:cstheme="minorHAnsi"/>
          <w:color w:val="000000"/>
          <w:sz w:val="24"/>
          <w:szCs w:val="24"/>
        </w:rPr>
      </w:pPr>
    </w:p>
    <w:p w14:paraId="1E48C996" w14:textId="1EF4977A" w:rsidR="001B6A64" w:rsidRPr="00371DAF" w:rsidRDefault="001B6A64" w:rsidP="001B6A64">
      <w:pPr>
        <w:pStyle w:val="ListParagraph"/>
        <w:numPr>
          <w:ilvl w:val="0"/>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Prior to completing the template, state rules and regulations including statutes governing both the practice of pharmacy and the practice of medicine should be comprehensively reviewed. State practice acts vary widely.</w:t>
      </w:r>
      <w:r>
        <w:rPr>
          <w:rFonts w:eastAsia="Times New Roman" w:cstheme="minorHAnsi"/>
          <w:color w:val="000000"/>
        </w:rPr>
        <w:t xml:space="preserve">  It may be prudent to include reference to specific state regulations (by name/number) that govern the agreement within the </w:t>
      </w:r>
      <w:r w:rsidR="00E31E9A">
        <w:rPr>
          <w:rFonts w:eastAsia="Times New Roman" w:cstheme="minorHAnsi"/>
          <w:color w:val="000000"/>
        </w:rPr>
        <w:t xml:space="preserve">agreement’s introductory </w:t>
      </w:r>
      <w:r>
        <w:rPr>
          <w:rFonts w:eastAsia="Times New Roman" w:cstheme="minorHAnsi"/>
          <w:color w:val="000000"/>
        </w:rPr>
        <w:t xml:space="preserve">text. </w:t>
      </w:r>
      <w:r w:rsidRPr="00371DAF">
        <w:rPr>
          <w:rFonts w:eastAsia="Times New Roman" w:cstheme="minorHAnsi"/>
          <w:color w:val="000000"/>
        </w:rPr>
        <w:t>Common areas that differ across states are called out in highlighted brackets throughout the document and include:</w:t>
      </w:r>
    </w:p>
    <w:p w14:paraId="696A50F0" w14:textId="77777777" w:rsidR="001B6A64" w:rsidRPr="00371DAF" w:rsidRDefault="001B6A64" w:rsidP="001B6A64">
      <w:pPr>
        <w:pStyle w:val="ListParagraph"/>
        <w:numPr>
          <w:ilvl w:val="1"/>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Number and ratio of collaborating providers</w:t>
      </w:r>
    </w:p>
    <w:p w14:paraId="2EAFF209" w14:textId="77777777" w:rsidR="001B6A64" w:rsidRPr="00371DAF" w:rsidRDefault="001B6A64" w:rsidP="001B6A64">
      <w:pPr>
        <w:pStyle w:val="ListParagraph"/>
        <w:numPr>
          <w:ilvl w:val="2"/>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 xml:space="preserve">In addition to the number and ratio of providers, some states require that an agreement be in place for each patient. </w:t>
      </w:r>
    </w:p>
    <w:p w14:paraId="2EE51DDC" w14:textId="77777777" w:rsidR="001B6A64" w:rsidRPr="00371DAF" w:rsidRDefault="001B6A64" w:rsidP="001B6A64">
      <w:pPr>
        <w:pStyle w:val="ListParagraph"/>
        <w:numPr>
          <w:ilvl w:val="2"/>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 xml:space="preserve">Consider also regulations related to geographical location of/distance between the pharmacist and the referring provider.   </w:t>
      </w:r>
    </w:p>
    <w:p w14:paraId="26B74B8D" w14:textId="77777777" w:rsidR="001B6A64" w:rsidRPr="00371DAF" w:rsidRDefault="001B6A64" w:rsidP="001B6A64">
      <w:pPr>
        <w:pStyle w:val="ListParagraph"/>
        <w:numPr>
          <w:ilvl w:val="1"/>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 xml:space="preserve">Duration of collaboration agreement </w:t>
      </w:r>
    </w:p>
    <w:p w14:paraId="60DA36C3" w14:textId="77777777" w:rsidR="001B6A64" w:rsidRPr="00371DAF" w:rsidRDefault="001B6A64" w:rsidP="001B6A64">
      <w:pPr>
        <w:pStyle w:val="ListParagraph"/>
        <w:numPr>
          <w:ilvl w:val="1"/>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 xml:space="preserve">Referral and/or prescription requirements </w:t>
      </w:r>
    </w:p>
    <w:p w14:paraId="2E73CF2D" w14:textId="77777777" w:rsidR="001B6A64" w:rsidRDefault="001B6A64" w:rsidP="001B6A64">
      <w:pPr>
        <w:pStyle w:val="ListParagraph"/>
        <w:numPr>
          <w:ilvl w:val="1"/>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Pharmacist qualifications and maintenance of competence requirements</w:t>
      </w:r>
    </w:p>
    <w:p w14:paraId="2BDFC040" w14:textId="77777777" w:rsidR="001B6A64" w:rsidRPr="00371DAF" w:rsidRDefault="001B6A64" w:rsidP="001B6A64">
      <w:pPr>
        <w:pStyle w:val="ListParagraph"/>
        <w:numPr>
          <w:ilvl w:val="2"/>
          <w:numId w:val="23"/>
        </w:numPr>
        <w:pBdr>
          <w:top w:val="nil"/>
          <w:left w:val="nil"/>
          <w:bottom w:val="nil"/>
          <w:right w:val="nil"/>
          <w:between w:val="nil"/>
        </w:pBdr>
        <w:spacing w:after="0" w:line="240" w:lineRule="auto"/>
        <w:jc w:val="both"/>
        <w:rPr>
          <w:rFonts w:eastAsia="Times New Roman" w:cstheme="minorHAnsi"/>
          <w:color w:val="000000"/>
        </w:rPr>
      </w:pPr>
      <w:r>
        <w:rPr>
          <w:rFonts w:eastAsia="Times New Roman" w:cstheme="minorHAnsi"/>
          <w:color w:val="000000"/>
        </w:rPr>
        <w:t xml:space="preserve">Some states require pharmacist certification or designation(s) to participate in CPA/CDTM. </w:t>
      </w:r>
    </w:p>
    <w:p w14:paraId="41DF14FE" w14:textId="77777777" w:rsidR="001B6A64" w:rsidRPr="00371DAF" w:rsidRDefault="001B6A64" w:rsidP="001B6A64">
      <w:pPr>
        <w:pStyle w:val="ListParagraph"/>
        <w:numPr>
          <w:ilvl w:val="1"/>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 xml:space="preserve">Pharmacist scope of practice </w:t>
      </w:r>
    </w:p>
    <w:p w14:paraId="26352187" w14:textId="77777777" w:rsidR="001B6A64" w:rsidRPr="00371DAF" w:rsidRDefault="001B6A64" w:rsidP="001B6A64">
      <w:pPr>
        <w:pStyle w:val="ListParagraph"/>
        <w:numPr>
          <w:ilvl w:val="1"/>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 xml:space="preserve">Data access, documentation, and communication requirements </w:t>
      </w:r>
    </w:p>
    <w:p w14:paraId="5F53F5EF" w14:textId="77777777" w:rsidR="001B6A64" w:rsidRPr="00371DAF" w:rsidRDefault="001B6A64" w:rsidP="001B6A64">
      <w:pPr>
        <w:pStyle w:val="ListParagraph"/>
        <w:numPr>
          <w:ilvl w:val="1"/>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 xml:space="preserve">Agreement review frequency </w:t>
      </w:r>
    </w:p>
    <w:p w14:paraId="330EAD03" w14:textId="77777777" w:rsidR="001B6A64" w:rsidRDefault="001B6A64" w:rsidP="001B6A64">
      <w:pPr>
        <w:pStyle w:val="ListParagraph"/>
        <w:numPr>
          <w:ilvl w:val="1"/>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Record retention requirements</w:t>
      </w:r>
    </w:p>
    <w:p w14:paraId="5510281A" w14:textId="77777777" w:rsidR="001B6A64" w:rsidRDefault="001B6A64" w:rsidP="001B6A64">
      <w:pPr>
        <w:pStyle w:val="ListParagraph"/>
        <w:numPr>
          <w:ilvl w:val="2"/>
          <w:numId w:val="23"/>
        </w:numPr>
        <w:pBdr>
          <w:top w:val="nil"/>
          <w:left w:val="nil"/>
          <w:bottom w:val="nil"/>
          <w:right w:val="nil"/>
          <w:between w:val="nil"/>
        </w:pBdr>
        <w:spacing w:after="0" w:line="240" w:lineRule="auto"/>
        <w:jc w:val="both"/>
        <w:rPr>
          <w:rFonts w:eastAsia="Times New Roman" w:cstheme="minorHAnsi"/>
          <w:color w:val="000000"/>
        </w:rPr>
      </w:pPr>
      <w:r>
        <w:rPr>
          <w:rFonts w:eastAsia="Times New Roman" w:cstheme="minorHAnsi"/>
          <w:color w:val="000000"/>
        </w:rPr>
        <w:t xml:space="preserve">Some states require filing the agreement/protocol with the state board of pharmacy. </w:t>
      </w:r>
    </w:p>
    <w:p w14:paraId="67DF4961" w14:textId="77777777" w:rsidR="001B6A64" w:rsidRDefault="001B6A64" w:rsidP="001B6A64">
      <w:pPr>
        <w:pStyle w:val="ListParagraph"/>
        <w:numPr>
          <w:ilvl w:val="1"/>
          <w:numId w:val="23"/>
        </w:numPr>
        <w:pBdr>
          <w:top w:val="nil"/>
          <w:left w:val="nil"/>
          <w:bottom w:val="nil"/>
          <w:right w:val="nil"/>
          <w:between w:val="nil"/>
        </w:pBdr>
        <w:spacing w:after="0" w:line="240" w:lineRule="auto"/>
        <w:jc w:val="both"/>
        <w:rPr>
          <w:rFonts w:eastAsia="Times New Roman" w:cstheme="minorHAnsi"/>
          <w:color w:val="000000"/>
        </w:rPr>
      </w:pPr>
      <w:r>
        <w:rPr>
          <w:rFonts w:eastAsia="Times New Roman" w:cstheme="minorHAnsi"/>
          <w:color w:val="000000"/>
        </w:rPr>
        <w:t>Insurance requirements</w:t>
      </w:r>
    </w:p>
    <w:p w14:paraId="7C0F0991" w14:textId="77777777" w:rsidR="001B6A64" w:rsidRPr="00371DAF" w:rsidRDefault="001B6A64" w:rsidP="001B6A64">
      <w:pPr>
        <w:pStyle w:val="ListParagraph"/>
        <w:numPr>
          <w:ilvl w:val="2"/>
          <w:numId w:val="23"/>
        </w:numPr>
        <w:pBdr>
          <w:top w:val="nil"/>
          <w:left w:val="nil"/>
          <w:bottom w:val="nil"/>
          <w:right w:val="nil"/>
          <w:between w:val="nil"/>
        </w:pBdr>
        <w:spacing w:after="0" w:line="240" w:lineRule="auto"/>
        <w:jc w:val="both"/>
        <w:rPr>
          <w:rFonts w:eastAsia="Times New Roman" w:cstheme="minorHAnsi"/>
          <w:color w:val="000000"/>
        </w:rPr>
      </w:pPr>
      <w:r>
        <w:rPr>
          <w:rFonts w:eastAsia="Times New Roman" w:cstheme="minorHAnsi"/>
          <w:color w:val="000000"/>
        </w:rPr>
        <w:t xml:space="preserve">This section may be subject to state-based variations but is more likely to be dictated by institutional rules and regulations (if at all).  </w:t>
      </w:r>
    </w:p>
    <w:p w14:paraId="67EEFF20" w14:textId="77777777" w:rsidR="001B6A64" w:rsidRDefault="001B6A64" w:rsidP="001B6A64">
      <w:pPr>
        <w:pStyle w:val="ListParagraph"/>
        <w:numPr>
          <w:ilvl w:val="1"/>
          <w:numId w:val="23"/>
        </w:numPr>
        <w:pBdr>
          <w:top w:val="nil"/>
          <w:left w:val="nil"/>
          <w:bottom w:val="nil"/>
          <w:right w:val="nil"/>
          <w:between w:val="nil"/>
        </w:pBdr>
        <w:spacing w:after="0" w:line="240" w:lineRule="auto"/>
        <w:jc w:val="both"/>
        <w:rPr>
          <w:rFonts w:eastAsia="Times New Roman" w:cstheme="minorHAnsi"/>
          <w:color w:val="000000"/>
        </w:rPr>
      </w:pPr>
      <w:r>
        <w:rPr>
          <w:rFonts w:eastAsia="Times New Roman" w:cstheme="minorHAnsi"/>
          <w:color w:val="000000"/>
        </w:rPr>
        <w:t>Appendices</w:t>
      </w:r>
    </w:p>
    <w:p w14:paraId="56BE6DC7" w14:textId="77777777" w:rsidR="001B6A64" w:rsidRDefault="001B6A64" w:rsidP="001B6A64">
      <w:pPr>
        <w:pStyle w:val="ListParagraph"/>
        <w:numPr>
          <w:ilvl w:val="2"/>
          <w:numId w:val="23"/>
        </w:numPr>
        <w:pBdr>
          <w:top w:val="nil"/>
          <w:left w:val="nil"/>
          <w:bottom w:val="nil"/>
          <w:right w:val="nil"/>
          <w:between w:val="nil"/>
        </w:pBdr>
        <w:spacing w:after="0" w:line="240" w:lineRule="auto"/>
        <w:jc w:val="both"/>
        <w:rPr>
          <w:rFonts w:eastAsia="Times New Roman" w:cstheme="minorHAnsi"/>
          <w:color w:val="000000"/>
        </w:rPr>
      </w:pPr>
      <w:r>
        <w:rPr>
          <w:rFonts w:eastAsia="Times New Roman" w:cstheme="minorHAnsi"/>
          <w:color w:val="000000"/>
        </w:rPr>
        <w:t xml:space="preserve">Appendix A - </w:t>
      </w:r>
      <w:proofErr w:type="gramStart"/>
      <w:r w:rsidRPr="00371DAF">
        <w:rPr>
          <w:rFonts w:eastAsia="Times New Roman" w:cstheme="minorHAnsi"/>
          <w:color w:val="000000"/>
        </w:rPr>
        <w:t>Pharmacotherapy  –</w:t>
      </w:r>
      <w:proofErr w:type="gramEnd"/>
      <w:r w:rsidRPr="00371DAF">
        <w:rPr>
          <w:rFonts w:eastAsia="Times New Roman" w:cstheme="minorHAnsi"/>
          <w:color w:val="000000"/>
        </w:rPr>
        <w:t xml:space="preserve"> degree of detail varies widely per state with some requiring</w:t>
      </w:r>
      <w:r>
        <w:rPr>
          <w:rFonts w:eastAsia="Times New Roman" w:cstheme="minorHAnsi"/>
          <w:color w:val="000000"/>
        </w:rPr>
        <w:t xml:space="preserve"> no specification of medications, some requiring</w:t>
      </w:r>
      <w:r w:rsidRPr="00371DAF">
        <w:rPr>
          <w:rFonts w:eastAsia="Times New Roman" w:cstheme="minorHAnsi"/>
          <w:color w:val="000000"/>
        </w:rPr>
        <w:t xml:space="preserve"> all specific medications and dosages be listed, some requir</w:t>
      </w:r>
      <w:r>
        <w:rPr>
          <w:rFonts w:eastAsia="Times New Roman" w:cstheme="minorHAnsi"/>
          <w:color w:val="000000"/>
        </w:rPr>
        <w:t>ing</w:t>
      </w:r>
      <w:r w:rsidRPr="00371DAF">
        <w:rPr>
          <w:rFonts w:eastAsia="Times New Roman" w:cstheme="minorHAnsi"/>
          <w:color w:val="000000"/>
        </w:rPr>
        <w:t xml:space="preserve"> medication classes be listed and other</w:t>
      </w:r>
      <w:r>
        <w:rPr>
          <w:rFonts w:eastAsia="Times New Roman" w:cstheme="minorHAnsi"/>
          <w:color w:val="000000"/>
        </w:rPr>
        <w:t>s</w:t>
      </w:r>
      <w:r w:rsidRPr="00371DAF">
        <w:rPr>
          <w:rFonts w:eastAsia="Times New Roman" w:cstheme="minorHAnsi"/>
          <w:color w:val="000000"/>
        </w:rPr>
        <w:t xml:space="preserve"> requir</w:t>
      </w:r>
      <w:r>
        <w:rPr>
          <w:rFonts w:eastAsia="Times New Roman" w:cstheme="minorHAnsi"/>
          <w:color w:val="000000"/>
        </w:rPr>
        <w:t>ing</w:t>
      </w:r>
      <w:r w:rsidRPr="00371DAF">
        <w:rPr>
          <w:rFonts w:eastAsia="Times New Roman" w:cstheme="minorHAnsi"/>
          <w:color w:val="000000"/>
        </w:rPr>
        <w:t xml:space="preserve"> general information referencing standard guidelines.  </w:t>
      </w:r>
    </w:p>
    <w:p w14:paraId="62864E7F" w14:textId="77777777" w:rsidR="001B6A64" w:rsidRDefault="001B6A64" w:rsidP="001B6A64">
      <w:pPr>
        <w:pStyle w:val="ListParagraph"/>
        <w:numPr>
          <w:ilvl w:val="2"/>
          <w:numId w:val="23"/>
        </w:numPr>
        <w:pBdr>
          <w:top w:val="nil"/>
          <w:left w:val="nil"/>
          <w:bottom w:val="nil"/>
          <w:right w:val="nil"/>
          <w:between w:val="nil"/>
        </w:pBdr>
        <w:spacing w:after="0" w:line="240" w:lineRule="auto"/>
        <w:jc w:val="both"/>
        <w:rPr>
          <w:rFonts w:eastAsia="Times New Roman" w:cstheme="minorHAnsi"/>
          <w:color w:val="000000"/>
        </w:rPr>
      </w:pPr>
      <w:r>
        <w:rPr>
          <w:rFonts w:eastAsia="Times New Roman" w:cstheme="minorHAnsi"/>
          <w:color w:val="000000"/>
        </w:rPr>
        <w:t xml:space="preserve">Appendix B – Institution-specific treatment protocols/guidelines.  This would be </w:t>
      </w:r>
      <w:proofErr w:type="gramStart"/>
      <w:r>
        <w:rPr>
          <w:rFonts w:eastAsia="Times New Roman" w:cstheme="minorHAnsi"/>
          <w:color w:val="000000"/>
        </w:rPr>
        <w:t>most commonly used</w:t>
      </w:r>
      <w:proofErr w:type="gramEnd"/>
      <w:r>
        <w:rPr>
          <w:rFonts w:eastAsia="Times New Roman" w:cstheme="minorHAnsi"/>
          <w:color w:val="000000"/>
        </w:rPr>
        <w:t xml:space="preserve"> in large health systems but may not be necessary for many agreements.  </w:t>
      </w:r>
    </w:p>
    <w:p w14:paraId="557E4ADB" w14:textId="77777777" w:rsidR="001B6A64" w:rsidRDefault="001B6A64" w:rsidP="001B6A64">
      <w:pPr>
        <w:pStyle w:val="ListParagraph"/>
        <w:numPr>
          <w:ilvl w:val="2"/>
          <w:numId w:val="23"/>
        </w:numPr>
        <w:pBdr>
          <w:top w:val="nil"/>
          <w:left w:val="nil"/>
          <w:bottom w:val="nil"/>
          <w:right w:val="nil"/>
          <w:between w:val="nil"/>
        </w:pBdr>
        <w:spacing w:after="0" w:line="240" w:lineRule="auto"/>
        <w:jc w:val="both"/>
        <w:rPr>
          <w:rFonts w:eastAsia="Times New Roman" w:cstheme="minorHAnsi"/>
          <w:color w:val="000000"/>
        </w:rPr>
      </w:pPr>
      <w:r>
        <w:rPr>
          <w:rFonts w:eastAsia="Times New Roman" w:cstheme="minorHAnsi"/>
          <w:color w:val="000000"/>
        </w:rPr>
        <w:t xml:space="preserve">Appendix C – Orders and point of care testing – </w:t>
      </w:r>
      <w:proofErr w:type="gramStart"/>
      <w:r>
        <w:rPr>
          <w:rFonts w:eastAsia="Times New Roman" w:cstheme="minorHAnsi"/>
          <w:color w:val="000000"/>
        </w:rPr>
        <w:t>similar to</w:t>
      </w:r>
      <w:proofErr w:type="gramEnd"/>
      <w:r>
        <w:rPr>
          <w:rFonts w:eastAsia="Times New Roman" w:cstheme="minorHAnsi"/>
          <w:color w:val="000000"/>
        </w:rPr>
        <w:t xml:space="preserve"> the Pharmacotherapy details, the degree of detail required in this section will vary based upon state regulations and institutional policies.  </w:t>
      </w:r>
    </w:p>
    <w:p w14:paraId="690AA2E6" w14:textId="77777777" w:rsidR="001B6A64" w:rsidRDefault="001B6A64" w:rsidP="001B6A64">
      <w:pPr>
        <w:pStyle w:val="ListParagraph"/>
        <w:numPr>
          <w:ilvl w:val="0"/>
          <w:numId w:val="23"/>
        </w:numPr>
        <w:pBdr>
          <w:top w:val="nil"/>
          <w:left w:val="nil"/>
          <w:bottom w:val="nil"/>
          <w:right w:val="nil"/>
          <w:between w:val="nil"/>
        </w:pBdr>
        <w:spacing w:after="0" w:line="240" w:lineRule="auto"/>
        <w:jc w:val="both"/>
        <w:rPr>
          <w:rFonts w:eastAsia="Times New Roman" w:cstheme="minorHAnsi"/>
          <w:color w:val="000000"/>
        </w:rPr>
      </w:pPr>
      <w:r w:rsidRPr="00371DAF">
        <w:rPr>
          <w:rFonts w:eastAsia="Times New Roman" w:cstheme="minorHAnsi"/>
          <w:color w:val="000000"/>
        </w:rPr>
        <w:t xml:space="preserve">This template provides a </w:t>
      </w:r>
      <w:r>
        <w:rPr>
          <w:rFonts w:eastAsia="Times New Roman" w:cstheme="minorHAnsi"/>
          <w:color w:val="000000"/>
        </w:rPr>
        <w:t>starting point</w:t>
      </w:r>
      <w:r w:rsidRPr="00371DAF">
        <w:rPr>
          <w:rFonts w:eastAsia="Times New Roman" w:cstheme="minorHAnsi"/>
          <w:color w:val="000000"/>
        </w:rPr>
        <w:t xml:space="preserve"> from which </w:t>
      </w:r>
      <w:r>
        <w:rPr>
          <w:rFonts w:eastAsia="Times New Roman" w:cstheme="minorHAnsi"/>
          <w:color w:val="000000"/>
        </w:rPr>
        <w:t>practitioners can</w:t>
      </w:r>
      <w:r w:rsidRPr="00371DAF">
        <w:rPr>
          <w:rFonts w:eastAsia="Times New Roman" w:cstheme="minorHAnsi"/>
          <w:color w:val="000000"/>
        </w:rPr>
        <w:t xml:space="preserve"> evaluate the need for revisions and alterations based upon state laws. Additional details may need to be included based on state-specific requirements.</w:t>
      </w:r>
    </w:p>
    <w:p w14:paraId="58184E9C" w14:textId="4D381C8D" w:rsidR="001B6A64" w:rsidRPr="00371DAF" w:rsidRDefault="001B6A64" w:rsidP="001B6A64">
      <w:pPr>
        <w:pStyle w:val="ListParagraph"/>
        <w:numPr>
          <w:ilvl w:val="0"/>
          <w:numId w:val="23"/>
        </w:numPr>
        <w:pBdr>
          <w:top w:val="nil"/>
          <w:left w:val="nil"/>
          <w:bottom w:val="nil"/>
          <w:right w:val="nil"/>
          <w:between w:val="nil"/>
        </w:pBdr>
        <w:spacing w:after="0" w:line="240" w:lineRule="auto"/>
        <w:jc w:val="both"/>
        <w:rPr>
          <w:rFonts w:eastAsia="Times New Roman" w:cstheme="minorHAnsi"/>
          <w:color w:val="000000"/>
        </w:rPr>
      </w:pPr>
      <w:r>
        <w:rPr>
          <w:rFonts w:eastAsia="Times New Roman" w:cstheme="minorHAnsi"/>
          <w:color w:val="000000"/>
        </w:rPr>
        <w:t>Agreements between practitioners employed by different systems/institutions</w:t>
      </w:r>
      <w:r w:rsidR="00D12534">
        <w:rPr>
          <w:rFonts w:eastAsia="Times New Roman" w:cstheme="minorHAnsi"/>
          <w:color w:val="000000"/>
        </w:rPr>
        <w:t>/practices</w:t>
      </w:r>
      <w:r>
        <w:rPr>
          <w:rFonts w:eastAsia="Times New Roman" w:cstheme="minorHAnsi"/>
          <w:color w:val="000000"/>
        </w:rPr>
        <w:t xml:space="preserve"> may require </w:t>
      </w:r>
      <w:r w:rsidR="000033DA">
        <w:rPr>
          <w:rFonts w:eastAsia="Times New Roman" w:cstheme="minorHAnsi"/>
          <w:color w:val="000000"/>
        </w:rPr>
        <w:t xml:space="preserve">the addition of </w:t>
      </w:r>
      <w:r>
        <w:rPr>
          <w:rFonts w:eastAsia="Times New Roman" w:cstheme="minorHAnsi"/>
          <w:color w:val="000000"/>
        </w:rPr>
        <w:t xml:space="preserve">professional liability insurance coverage requirements.  </w:t>
      </w:r>
    </w:p>
    <w:p w14:paraId="378C9695" w14:textId="737CEEF1" w:rsidR="001B6A64" w:rsidRDefault="001B6A64" w:rsidP="001B6A64">
      <w:pPr>
        <w:pStyle w:val="ListParagraph"/>
        <w:numPr>
          <w:ilvl w:val="0"/>
          <w:numId w:val="23"/>
        </w:numPr>
        <w:pBdr>
          <w:top w:val="nil"/>
          <w:left w:val="nil"/>
          <w:bottom w:val="nil"/>
          <w:right w:val="nil"/>
          <w:between w:val="nil"/>
        </w:pBdr>
        <w:spacing w:after="0" w:line="240" w:lineRule="auto"/>
        <w:jc w:val="both"/>
        <w:rPr>
          <w:rFonts w:eastAsia="Times New Roman" w:cstheme="minorHAnsi"/>
          <w:color w:val="000000"/>
        </w:rPr>
      </w:pPr>
      <w:proofErr w:type="gramStart"/>
      <w:r w:rsidRPr="00371DAF">
        <w:rPr>
          <w:rFonts w:eastAsia="Times New Roman" w:cstheme="minorHAnsi"/>
          <w:color w:val="000000"/>
        </w:rPr>
        <w:t>Health-system</w:t>
      </w:r>
      <w:proofErr w:type="gramEnd"/>
      <w:r w:rsidRPr="00371DAF">
        <w:rPr>
          <w:rFonts w:eastAsia="Times New Roman" w:cstheme="minorHAnsi"/>
          <w:color w:val="000000"/>
        </w:rPr>
        <w:t xml:space="preserve"> or institutional policies should also be reviewed and incorporated into the C</w:t>
      </w:r>
      <w:r>
        <w:rPr>
          <w:rFonts w:eastAsia="Times New Roman" w:cstheme="minorHAnsi"/>
          <w:color w:val="000000"/>
        </w:rPr>
        <w:t>DTM</w:t>
      </w:r>
      <w:r w:rsidRPr="00371DAF">
        <w:rPr>
          <w:rFonts w:eastAsia="Times New Roman" w:cstheme="minorHAnsi"/>
          <w:color w:val="000000"/>
        </w:rPr>
        <w:t xml:space="preserve"> in both the main body and appendices</w:t>
      </w:r>
      <w:r>
        <w:rPr>
          <w:rFonts w:eastAsia="Times New Roman" w:cstheme="minorHAnsi"/>
          <w:color w:val="000000"/>
        </w:rPr>
        <w:t>, where appropriate</w:t>
      </w:r>
      <w:r w:rsidRPr="00371DAF">
        <w:rPr>
          <w:rFonts w:eastAsia="Times New Roman" w:cstheme="minorHAnsi"/>
          <w:color w:val="000000"/>
        </w:rPr>
        <w:t xml:space="preserve">.  </w:t>
      </w:r>
    </w:p>
    <w:p w14:paraId="38FE4AFE" w14:textId="77777777" w:rsidR="001B6A64" w:rsidRDefault="001B6A64" w:rsidP="00AF3012">
      <w:pPr>
        <w:jc w:val="center"/>
        <w:rPr>
          <w:b/>
          <w:bCs/>
          <w:caps/>
          <w:highlight w:val="yellow"/>
        </w:rPr>
      </w:pPr>
    </w:p>
    <w:p w14:paraId="3EE3B735" w14:textId="77777777" w:rsidR="001B6A64" w:rsidRDefault="001B6A64" w:rsidP="00AF3012">
      <w:pPr>
        <w:jc w:val="center"/>
        <w:rPr>
          <w:b/>
          <w:bCs/>
          <w:caps/>
          <w:highlight w:val="yellow"/>
        </w:rPr>
      </w:pPr>
    </w:p>
    <w:p w14:paraId="407FA86D" w14:textId="0E8FD4CF" w:rsidR="000F5C1B" w:rsidRPr="000838A7" w:rsidRDefault="000F5C1B" w:rsidP="00AF3012">
      <w:pPr>
        <w:jc w:val="center"/>
        <w:rPr>
          <w:b/>
          <w:bCs/>
          <w:caps/>
        </w:rPr>
      </w:pPr>
      <w:r w:rsidRPr="000F5C1B">
        <w:rPr>
          <w:b/>
          <w:bCs/>
          <w:caps/>
          <w:highlight w:val="yellow"/>
        </w:rPr>
        <w:lastRenderedPageBreak/>
        <w:t>[organization name]</w:t>
      </w:r>
    </w:p>
    <w:p w14:paraId="555CCA0B" w14:textId="0D634930" w:rsidR="00AF3012" w:rsidRPr="003D133E" w:rsidRDefault="5C86DE8D" w:rsidP="5C86DE8D">
      <w:r w:rsidRPr="5C86DE8D">
        <w:t xml:space="preserve">This collaborative practice agreement (CPA) establishes </w:t>
      </w:r>
      <w:r w:rsidR="00EC2BE5">
        <w:t xml:space="preserve">the </w:t>
      </w:r>
      <w:r w:rsidRPr="5C86DE8D">
        <w:t xml:space="preserve">authority for </w:t>
      </w:r>
      <w:r w:rsidR="00EC2BE5">
        <w:t xml:space="preserve">pharmacists to participate in </w:t>
      </w:r>
      <w:r w:rsidRPr="5C86DE8D">
        <w:t xml:space="preserve">collaborative drug therapy management (CDTM) within the physician-led health care team.  The requirements, procedures, and guidelines contained within this document constitute an agreement between </w:t>
      </w:r>
      <w:r w:rsidR="00F721D4">
        <w:t>[</w:t>
      </w:r>
      <w:r w:rsidR="00F721D4" w:rsidRPr="5C86DE8D">
        <w:rPr>
          <w:i/>
          <w:iCs/>
          <w:highlight w:val="yellow"/>
        </w:rPr>
        <w:t>one or more</w:t>
      </w:r>
      <w:r w:rsidR="00F721D4" w:rsidRPr="5C86DE8D">
        <w:rPr>
          <w:i/>
          <w:iCs/>
        </w:rPr>
        <w:t>]</w:t>
      </w:r>
      <w:r w:rsidR="00F721D4" w:rsidRPr="5C86DE8D">
        <w:t xml:space="preserve"> physicians and </w:t>
      </w:r>
      <w:r w:rsidR="00F721D4" w:rsidRPr="5C86DE8D">
        <w:rPr>
          <w:highlight w:val="yellow"/>
        </w:rPr>
        <w:t>[</w:t>
      </w:r>
      <w:r w:rsidR="00F721D4" w:rsidRPr="5C86DE8D">
        <w:rPr>
          <w:i/>
          <w:iCs/>
          <w:highlight w:val="yellow"/>
        </w:rPr>
        <w:t>one or more - insert relevant number/ratio of collaborators based upon state rules and regulations</w:t>
      </w:r>
      <w:r w:rsidR="00F721D4" w:rsidRPr="5C86DE8D">
        <w:rPr>
          <w:highlight w:val="yellow"/>
        </w:rPr>
        <w:t>]</w:t>
      </w:r>
      <w:r w:rsidR="00F721D4" w:rsidRPr="5C86DE8D">
        <w:t xml:space="preserve"> </w:t>
      </w:r>
      <w:r w:rsidRPr="5C86DE8D">
        <w:t xml:space="preserve">pharmacists for the care of patients that are mutually agreed upon through the processes described herein.  </w:t>
      </w:r>
    </w:p>
    <w:p w14:paraId="1BD9F63B" w14:textId="60170C90" w:rsidR="00190298" w:rsidRPr="003D133E" w:rsidRDefault="5C86DE8D" w:rsidP="5C86DE8D">
      <w:r w:rsidRPr="5C86DE8D">
        <w:t xml:space="preserve">Collaborative practice will be granted for a period of </w:t>
      </w:r>
      <w:r w:rsidRPr="5C86DE8D">
        <w:rPr>
          <w:highlight w:val="yellow"/>
        </w:rPr>
        <w:t>[</w:t>
      </w:r>
      <w:r w:rsidR="00757785" w:rsidRPr="00757785">
        <w:rPr>
          <w:i/>
          <w:iCs/>
          <w:highlight w:val="yellow"/>
        </w:rPr>
        <w:t xml:space="preserve">1 year – or </w:t>
      </w:r>
      <w:r w:rsidRPr="5C86DE8D">
        <w:rPr>
          <w:i/>
          <w:iCs/>
          <w:highlight w:val="yellow"/>
        </w:rPr>
        <w:t xml:space="preserve">insert </w:t>
      </w:r>
      <w:r w:rsidR="00757785">
        <w:rPr>
          <w:i/>
          <w:iCs/>
          <w:highlight w:val="yellow"/>
        </w:rPr>
        <w:t xml:space="preserve">alternative </w:t>
      </w:r>
      <w:r w:rsidRPr="5C86DE8D">
        <w:rPr>
          <w:i/>
          <w:iCs/>
          <w:highlight w:val="yellow"/>
        </w:rPr>
        <w:t>agreement duration as determined by state/region/organization</w:t>
      </w:r>
      <w:r w:rsidRPr="5C86DE8D">
        <w:rPr>
          <w:highlight w:val="yellow"/>
        </w:rPr>
        <w:t>]</w:t>
      </w:r>
      <w:r w:rsidRPr="5C86DE8D">
        <w:t xml:space="preserve"> from the date of signature, unless rescinded in writing.  </w:t>
      </w:r>
    </w:p>
    <w:p w14:paraId="4B305F0F" w14:textId="77777777" w:rsidR="000838A7" w:rsidRPr="003D133E" w:rsidRDefault="000838A7" w:rsidP="00AF3012">
      <w:pPr>
        <w:rPr>
          <w:rFonts w:cstheme="minorHAnsi"/>
          <w:b/>
          <w:bCs/>
          <w:caps/>
          <w:highlight w:val="yellow"/>
        </w:rPr>
      </w:pPr>
    </w:p>
    <w:p w14:paraId="45CCFF77" w14:textId="351580EC" w:rsidR="00AF3012" w:rsidRPr="003D133E" w:rsidRDefault="002F3392" w:rsidP="00754A06">
      <w:pPr>
        <w:pBdr>
          <w:bottom w:val="single" w:sz="4" w:space="1" w:color="auto"/>
        </w:pBdr>
        <w:rPr>
          <w:rFonts w:cstheme="minorHAnsi"/>
          <w:b/>
          <w:bCs/>
          <w:caps/>
        </w:rPr>
      </w:pPr>
      <w:r w:rsidRPr="003D133E">
        <w:rPr>
          <w:rFonts w:cstheme="minorHAnsi"/>
          <w:b/>
          <w:bCs/>
          <w:caps/>
        </w:rPr>
        <w:t xml:space="preserve">DIAGNOSES AND </w:t>
      </w:r>
      <w:r w:rsidR="000838A7" w:rsidRPr="003D133E">
        <w:rPr>
          <w:rFonts w:cstheme="minorHAnsi"/>
          <w:b/>
          <w:bCs/>
          <w:caps/>
        </w:rPr>
        <w:t>referral criteria</w:t>
      </w:r>
    </w:p>
    <w:p w14:paraId="4EAD6BE8" w14:textId="12EBF2BE" w:rsidR="005673F8" w:rsidRPr="003D133E" w:rsidRDefault="5C86DE8D" w:rsidP="5C86DE8D">
      <w:r w:rsidRPr="5C86DE8D">
        <w:t xml:space="preserve">This CPA authorizes team-based care for patients with </w:t>
      </w:r>
      <w:r w:rsidR="00161C89">
        <w:t xml:space="preserve">documented </w:t>
      </w:r>
      <w:r w:rsidRPr="5C86DE8D">
        <w:t xml:space="preserve">diagnoses including </w:t>
      </w:r>
      <w:r w:rsidRPr="5C86DE8D">
        <w:rPr>
          <w:highlight w:val="yellow"/>
        </w:rPr>
        <w:t>[</w:t>
      </w:r>
      <w:r w:rsidRPr="5C86DE8D">
        <w:rPr>
          <w:i/>
          <w:iCs/>
          <w:highlight w:val="yellow"/>
        </w:rPr>
        <w:t>insert diagnoses as determined by organization/participating collaborators</w:t>
      </w:r>
      <w:r w:rsidR="005A1794">
        <w:rPr>
          <w:i/>
          <w:iCs/>
          <w:highlight w:val="yellow"/>
        </w:rPr>
        <w:t>; this may be a list with checkboxes to allow selection</w:t>
      </w:r>
      <w:r w:rsidR="00656A28">
        <w:rPr>
          <w:i/>
          <w:iCs/>
          <w:highlight w:val="yellow"/>
        </w:rPr>
        <w:t xml:space="preserve"> by collaborating/referring physician</w:t>
      </w:r>
      <w:r w:rsidRPr="5C86DE8D">
        <w:rPr>
          <w:highlight w:val="yellow"/>
        </w:rPr>
        <w:t>]</w:t>
      </w:r>
      <w:r w:rsidRPr="5C86DE8D">
        <w:t xml:space="preserve"> that are identified through:</w:t>
      </w:r>
    </w:p>
    <w:p w14:paraId="643E3622" w14:textId="0D13D8E1" w:rsidR="00BA2D7D" w:rsidRPr="00310F36" w:rsidRDefault="005673F8" w:rsidP="005673F8">
      <w:pPr>
        <w:pStyle w:val="ListParagraph"/>
        <w:numPr>
          <w:ilvl w:val="0"/>
          <w:numId w:val="2"/>
        </w:numPr>
        <w:rPr>
          <w:rFonts w:cstheme="minorHAnsi"/>
        </w:rPr>
      </w:pPr>
      <w:r w:rsidRPr="003D133E">
        <w:rPr>
          <w:rFonts w:cstheme="minorHAnsi"/>
        </w:rPr>
        <w:t>Direct referr</w:t>
      </w:r>
      <w:r w:rsidR="0097333F" w:rsidRPr="003D133E">
        <w:rPr>
          <w:rFonts w:cstheme="minorHAnsi"/>
        </w:rPr>
        <w:t>al</w:t>
      </w:r>
      <w:r w:rsidRPr="003D133E">
        <w:rPr>
          <w:rFonts w:cstheme="minorHAnsi"/>
        </w:rPr>
        <w:t xml:space="preserve"> </w:t>
      </w:r>
      <w:r w:rsidR="00766580" w:rsidRPr="003D133E">
        <w:rPr>
          <w:rFonts w:cstheme="minorHAnsi"/>
        </w:rPr>
        <w:t>by</w:t>
      </w:r>
      <w:r w:rsidRPr="003D133E">
        <w:rPr>
          <w:rFonts w:cstheme="minorHAnsi"/>
        </w:rPr>
        <w:t xml:space="preserve"> </w:t>
      </w:r>
      <w:r w:rsidR="00766580" w:rsidRPr="003D133E">
        <w:rPr>
          <w:rFonts w:cstheme="minorHAnsi"/>
        </w:rPr>
        <w:t xml:space="preserve">a </w:t>
      </w:r>
      <w:r w:rsidRPr="003D133E">
        <w:rPr>
          <w:rFonts w:cstheme="minorHAnsi"/>
        </w:rPr>
        <w:t>participating physician</w:t>
      </w:r>
      <w:r w:rsidR="00B56BB3">
        <w:rPr>
          <w:rFonts w:cstheme="minorHAnsi"/>
        </w:rPr>
        <w:t xml:space="preserve"> </w:t>
      </w:r>
      <w:r w:rsidR="00B56BB3" w:rsidRPr="00310F36">
        <w:rPr>
          <w:rFonts w:cstheme="minorHAnsi"/>
          <w:i/>
          <w:iCs/>
          <w:highlight w:val="yellow"/>
        </w:rPr>
        <w:t>[</w:t>
      </w:r>
      <w:r w:rsidR="00126D1E" w:rsidRPr="00310F36">
        <w:rPr>
          <w:rFonts w:cstheme="minorHAnsi"/>
          <w:i/>
          <w:iCs/>
          <w:highlight w:val="yellow"/>
        </w:rPr>
        <w:t xml:space="preserve">note - </w:t>
      </w:r>
      <w:r w:rsidR="00B56BB3" w:rsidRPr="00310F36">
        <w:rPr>
          <w:rFonts w:cstheme="minorHAnsi"/>
          <w:i/>
          <w:iCs/>
          <w:highlight w:val="yellow"/>
        </w:rPr>
        <w:t>some states may require written prescription]</w:t>
      </w:r>
      <w:r w:rsidRPr="00310F36">
        <w:rPr>
          <w:rFonts w:cstheme="minorHAnsi"/>
          <w:i/>
          <w:iCs/>
        </w:rPr>
        <w:t>,</w:t>
      </w:r>
      <w:r w:rsidRPr="003D133E">
        <w:rPr>
          <w:rFonts w:cstheme="minorHAnsi"/>
        </w:rPr>
        <w:t xml:space="preserve"> </w:t>
      </w:r>
      <w:r w:rsidRPr="00310F36">
        <w:rPr>
          <w:rFonts w:cstheme="minorHAnsi"/>
        </w:rPr>
        <w:t xml:space="preserve">or      </w:t>
      </w:r>
    </w:p>
    <w:p w14:paraId="3EA839D0" w14:textId="2B184BD2" w:rsidR="005673F8" w:rsidRPr="00310F36" w:rsidRDefault="00B56BB3" w:rsidP="005673F8">
      <w:pPr>
        <w:pStyle w:val="ListParagraph"/>
        <w:numPr>
          <w:ilvl w:val="0"/>
          <w:numId w:val="2"/>
        </w:numPr>
        <w:rPr>
          <w:rFonts w:cstheme="minorHAnsi"/>
          <w:i/>
          <w:iCs/>
          <w:highlight w:val="yellow"/>
        </w:rPr>
      </w:pPr>
      <w:r w:rsidRPr="00310F36">
        <w:rPr>
          <w:rFonts w:cstheme="minorHAnsi"/>
          <w:i/>
          <w:iCs/>
          <w:highlight w:val="yellow"/>
        </w:rPr>
        <w:t>[I</w:t>
      </w:r>
      <w:r w:rsidR="005673F8" w:rsidRPr="00310F36">
        <w:rPr>
          <w:rFonts w:cstheme="minorHAnsi"/>
          <w:i/>
          <w:iCs/>
          <w:highlight w:val="yellow"/>
        </w:rPr>
        <w:t xml:space="preserve">nsert name </w:t>
      </w:r>
      <w:r w:rsidR="00487776" w:rsidRPr="00310F36">
        <w:rPr>
          <w:rFonts w:cstheme="minorHAnsi"/>
          <w:i/>
          <w:iCs/>
          <w:highlight w:val="yellow"/>
        </w:rPr>
        <w:t xml:space="preserve">or description </w:t>
      </w:r>
      <w:r w:rsidR="005673F8" w:rsidRPr="00310F36">
        <w:rPr>
          <w:rFonts w:cstheme="minorHAnsi"/>
          <w:i/>
          <w:iCs/>
          <w:highlight w:val="yellow"/>
        </w:rPr>
        <w:t>of audit/patient identification process</w:t>
      </w:r>
      <w:r w:rsidRPr="00310F36">
        <w:rPr>
          <w:rFonts w:cstheme="minorHAnsi"/>
          <w:i/>
          <w:iCs/>
          <w:highlight w:val="yellow"/>
        </w:rPr>
        <w:t>]</w:t>
      </w:r>
      <w:r w:rsidR="00D85D65" w:rsidRPr="00310F36">
        <w:rPr>
          <w:rFonts w:cstheme="minorHAnsi"/>
          <w:i/>
          <w:iCs/>
          <w:highlight w:val="yellow"/>
        </w:rPr>
        <w:t>.</w:t>
      </w:r>
    </w:p>
    <w:p w14:paraId="155ACD69" w14:textId="77777777" w:rsidR="00CC6CEC" w:rsidRDefault="00CC6CEC" w:rsidP="50CA7C96">
      <w:pPr>
        <w:autoSpaceDE w:val="0"/>
        <w:autoSpaceDN w:val="0"/>
        <w:adjustRightInd w:val="0"/>
        <w:spacing w:after="0" w:line="240" w:lineRule="auto"/>
        <w:rPr>
          <w:rFonts w:eastAsia="BergamoStd-Regular"/>
          <w:kern w:val="0"/>
        </w:rPr>
      </w:pPr>
    </w:p>
    <w:p w14:paraId="6C521C0C" w14:textId="56EC415B" w:rsidR="00CC6CEC" w:rsidRDefault="00CC6CEC" w:rsidP="50CA7C96">
      <w:pPr>
        <w:autoSpaceDE w:val="0"/>
        <w:autoSpaceDN w:val="0"/>
        <w:adjustRightInd w:val="0"/>
        <w:spacing w:after="0" w:line="240" w:lineRule="auto"/>
        <w:rPr>
          <w:rFonts w:eastAsia="BergamoStd-Regular"/>
          <w:kern w:val="0"/>
        </w:rPr>
      </w:pPr>
      <w:r>
        <w:rPr>
          <w:rFonts w:eastAsia="BergamoStd-Regular"/>
          <w:kern w:val="0"/>
        </w:rPr>
        <w:t xml:space="preserve">The patient must have </w:t>
      </w:r>
      <w:r w:rsidR="001F1A56">
        <w:rPr>
          <w:rFonts w:eastAsia="BergamoStd-Regular"/>
          <w:kern w:val="0"/>
        </w:rPr>
        <w:t xml:space="preserve">an ongoing relationship </w:t>
      </w:r>
      <w:r w:rsidR="00B9038C">
        <w:rPr>
          <w:rFonts w:eastAsia="BergamoStd-Regular"/>
          <w:kern w:val="0"/>
        </w:rPr>
        <w:t>with the referring physician, including a</w:t>
      </w:r>
      <w:r w:rsidR="001F1A56">
        <w:rPr>
          <w:rFonts w:eastAsia="BergamoStd-Regular"/>
          <w:kern w:val="0"/>
        </w:rPr>
        <w:t xml:space="preserve"> documented </w:t>
      </w:r>
      <w:r w:rsidR="00B9038C">
        <w:rPr>
          <w:rFonts w:eastAsia="BergamoStd-Regular"/>
          <w:kern w:val="0"/>
        </w:rPr>
        <w:t xml:space="preserve">encounter </w:t>
      </w:r>
      <w:r w:rsidR="001F1A56">
        <w:rPr>
          <w:rFonts w:eastAsia="BergamoStd-Regular"/>
          <w:kern w:val="0"/>
        </w:rPr>
        <w:t>wit</w:t>
      </w:r>
      <w:r w:rsidR="00B9038C">
        <w:rPr>
          <w:rFonts w:eastAsia="BergamoStd-Regular"/>
          <w:kern w:val="0"/>
        </w:rPr>
        <w:t>h</w:t>
      </w:r>
      <w:r w:rsidR="001F1A56">
        <w:rPr>
          <w:rFonts w:eastAsia="BergamoStd-Regular"/>
          <w:kern w:val="0"/>
        </w:rPr>
        <w:t xml:space="preserve">in the 12 months prior to referral.  </w:t>
      </w:r>
    </w:p>
    <w:p w14:paraId="4C1CDFF5" w14:textId="77777777" w:rsidR="001F1A56" w:rsidRDefault="001F1A56" w:rsidP="50CA7C96">
      <w:pPr>
        <w:autoSpaceDE w:val="0"/>
        <w:autoSpaceDN w:val="0"/>
        <w:adjustRightInd w:val="0"/>
        <w:spacing w:after="0" w:line="240" w:lineRule="auto"/>
        <w:rPr>
          <w:rFonts w:eastAsia="BergamoStd-Regular"/>
          <w:kern w:val="0"/>
        </w:rPr>
      </w:pPr>
    </w:p>
    <w:p w14:paraId="09ED5A70" w14:textId="5786E027" w:rsidR="00BA2D7D" w:rsidRPr="003D133E" w:rsidRDefault="00BA2D7D" w:rsidP="50CA7C96">
      <w:pPr>
        <w:autoSpaceDE w:val="0"/>
        <w:autoSpaceDN w:val="0"/>
        <w:adjustRightInd w:val="0"/>
        <w:spacing w:after="0" w:line="240" w:lineRule="auto"/>
        <w:rPr>
          <w:b/>
          <w:bCs/>
        </w:rPr>
      </w:pPr>
      <w:r w:rsidRPr="50CA7C96">
        <w:rPr>
          <w:rFonts w:eastAsia="BergamoStd-Regular"/>
          <w:kern w:val="0"/>
        </w:rPr>
        <w:t xml:space="preserve">At the initial </w:t>
      </w:r>
      <w:r w:rsidR="001366F7">
        <w:rPr>
          <w:rFonts w:eastAsia="BergamoStd-Regular"/>
          <w:kern w:val="0"/>
        </w:rPr>
        <w:t>encounter</w:t>
      </w:r>
      <w:r w:rsidR="00961484" w:rsidRPr="50CA7C96">
        <w:rPr>
          <w:rFonts w:eastAsia="BergamoStd-Regular"/>
          <w:kern w:val="0"/>
        </w:rPr>
        <w:t xml:space="preserve"> </w:t>
      </w:r>
      <w:r w:rsidR="001F10BC">
        <w:rPr>
          <w:rFonts w:eastAsia="BergamoStd-Regular"/>
          <w:kern w:val="0"/>
        </w:rPr>
        <w:t>with a</w:t>
      </w:r>
      <w:r w:rsidR="00961484" w:rsidRPr="50CA7C96">
        <w:rPr>
          <w:rFonts w:eastAsia="BergamoStd-Regular"/>
          <w:kern w:val="0"/>
        </w:rPr>
        <w:t xml:space="preserve"> participating </w:t>
      </w:r>
      <w:r w:rsidR="0076293E">
        <w:rPr>
          <w:rFonts w:eastAsia="BergamoStd-Regular"/>
          <w:kern w:val="0"/>
        </w:rPr>
        <w:t xml:space="preserve">clinical </w:t>
      </w:r>
      <w:r w:rsidR="00961484" w:rsidRPr="50CA7C96">
        <w:rPr>
          <w:rFonts w:eastAsia="BergamoStd-Regular"/>
          <w:kern w:val="0"/>
        </w:rPr>
        <w:t>pharmacist</w:t>
      </w:r>
      <w:r w:rsidRPr="50CA7C96">
        <w:rPr>
          <w:rFonts w:eastAsia="BergamoStd-Regular"/>
          <w:kern w:val="0"/>
        </w:rPr>
        <w:t xml:space="preserve">, </w:t>
      </w:r>
      <w:r w:rsidR="00961484" w:rsidRPr="50CA7C96">
        <w:rPr>
          <w:rFonts w:eastAsia="BergamoStd-Regular"/>
          <w:kern w:val="0"/>
        </w:rPr>
        <w:t xml:space="preserve">the </w:t>
      </w:r>
      <w:r w:rsidRPr="50CA7C96">
        <w:rPr>
          <w:rFonts w:eastAsia="BergamoStd-Regular"/>
          <w:kern w:val="0"/>
        </w:rPr>
        <w:t xml:space="preserve">patient will be notified that the pharmacist </w:t>
      </w:r>
      <w:r w:rsidR="005E3F05">
        <w:rPr>
          <w:rFonts w:eastAsia="BergamoStd-Regular"/>
          <w:kern w:val="0"/>
        </w:rPr>
        <w:t>is collaborating with</w:t>
      </w:r>
      <w:r w:rsidR="005B3ACE">
        <w:rPr>
          <w:rFonts w:eastAsia="BergamoStd-Regular"/>
          <w:kern w:val="0"/>
        </w:rPr>
        <w:t xml:space="preserve"> the</w:t>
      </w:r>
      <w:r w:rsidR="00727A11" w:rsidRPr="50CA7C96">
        <w:rPr>
          <w:rFonts w:eastAsia="BergamoStd-Regular"/>
          <w:kern w:val="0"/>
        </w:rPr>
        <w:t xml:space="preserve"> </w:t>
      </w:r>
      <w:r w:rsidR="00D85D65">
        <w:rPr>
          <w:rFonts w:eastAsia="BergamoStd-Regular"/>
          <w:kern w:val="0"/>
        </w:rPr>
        <w:t>referring</w:t>
      </w:r>
      <w:r w:rsidR="00727A11" w:rsidRPr="50CA7C96">
        <w:rPr>
          <w:rFonts w:eastAsia="BergamoStd-Regular"/>
          <w:kern w:val="0"/>
        </w:rPr>
        <w:t xml:space="preserve"> physician.  </w:t>
      </w:r>
      <w:r w:rsidR="005B3ACE">
        <w:rPr>
          <w:rFonts w:eastAsia="BergamoStd-Regular"/>
          <w:kern w:val="0"/>
        </w:rPr>
        <w:t xml:space="preserve">(e.g., </w:t>
      </w:r>
      <w:r w:rsidR="000B29C2">
        <w:rPr>
          <w:rFonts w:eastAsia="BergamoStd-Regular"/>
          <w:kern w:val="0"/>
        </w:rPr>
        <w:t>“</w:t>
      </w:r>
      <w:r w:rsidR="005B3ACE">
        <w:rPr>
          <w:rFonts w:eastAsia="BergamoStd-Regular"/>
          <w:kern w:val="0"/>
        </w:rPr>
        <w:t xml:space="preserve">Dr. </w:t>
      </w:r>
      <w:r w:rsidR="000B29C2">
        <w:rPr>
          <w:rFonts w:eastAsia="BergamoStd-Regular"/>
          <w:kern w:val="0"/>
        </w:rPr>
        <w:t xml:space="preserve">Smith and I work </w:t>
      </w:r>
      <w:r w:rsidR="00D85D65">
        <w:rPr>
          <w:rFonts w:eastAsia="BergamoStd-Regular"/>
          <w:kern w:val="0"/>
        </w:rPr>
        <w:t>together,</w:t>
      </w:r>
      <w:r w:rsidR="000B29C2">
        <w:rPr>
          <w:rFonts w:eastAsia="BergamoStd-Regular"/>
          <w:kern w:val="0"/>
        </w:rPr>
        <w:t xml:space="preserve"> an</w:t>
      </w:r>
      <w:r w:rsidR="00D85D65">
        <w:rPr>
          <w:rFonts w:eastAsia="BergamoStd-Regular"/>
          <w:kern w:val="0"/>
        </w:rPr>
        <w:t>d</w:t>
      </w:r>
      <w:r w:rsidR="000B29C2">
        <w:rPr>
          <w:rFonts w:eastAsia="BergamoStd-Regular"/>
          <w:kern w:val="0"/>
        </w:rPr>
        <w:t xml:space="preserve"> she referred you to me to </w:t>
      </w:r>
      <w:r w:rsidR="003D21AF">
        <w:rPr>
          <w:rFonts w:eastAsia="BergamoStd-Regular"/>
          <w:kern w:val="0"/>
        </w:rPr>
        <w:t>collaborate on managing</w:t>
      </w:r>
      <w:r w:rsidR="000B29C2">
        <w:rPr>
          <w:rFonts w:eastAsia="BergamoStd-Regular"/>
          <w:kern w:val="0"/>
        </w:rPr>
        <w:t xml:space="preserve"> your medications.")</w:t>
      </w:r>
    </w:p>
    <w:p w14:paraId="30D77D63" w14:textId="77777777" w:rsidR="00AF3012" w:rsidRPr="003D133E" w:rsidRDefault="00AF3012" w:rsidP="00AF3012">
      <w:pPr>
        <w:rPr>
          <w:rFonts w:cstheme="minorHAnsi"/>
        </w:rPr>
      </w:pPr>
    </w:p>
    <w:p w14:paraId="0F982648" w14:textId="1EF1EF87" w:rsidR="00AF3012" w:rsidRPr="003D133E" w:rsidRDefault="00AF3012" w:rsidP="00754A06">
      <w:pPr>
        <w:pBdr>
          <w:bottom w:val="single" w:sz="4" w:space="1" w:color="auto"/>
        </w:pBdr>
        <w:rPr>
          <w:rFonts w:cstheme="minorHAnsi"/>
          <w:b/>
          <w:bCs/>
          <w:caps/>
        </w:rPr>
      </w:pPr>
      <w:r w:rsidRPr="003D133E">
        <w:rPr>
          <w:rFonts w:cstheme="minorHAnsi"/>
          <w:b/>
          <w:bCs/>
          <w:caps/>
        </w:rPr>
        <w:t>Pharmacist</w:t>
      </w:r>
      <w:r w:rsidR="00772853">
        <w:rPr>
          <w:rFonts w:cstheme="minorHAnsi"/>
          <w:b/>
          <w:bCs/>
          <w:caps/>
        </w:rPr>
        <w:t xml:space="preserve"> Qualifications</w:t>
      </w:r>
    </w:p>
    <w:p w14:paraId="33ACCE7F" w14:textId="3548965C" w:rsidR="000838A7" w:rsidRPr="003D133E" w:rsidRDefault="0017700D" w:rsidP="00AF3012">
      <w:pPr>
        <w:rPr>
          <w:rFonts w:cstheme="minorHAnsi"/>
          <w:b/>
          <w:bCs/>
        </w:rPr>
      </w:pPr>
      <w:r>
        <w:rPr>
          <w:rFonts w:cstheme="minorHAnsi"/>
          <w:b/>
          <w:bCs/>
        </w:rPr>
        <w:t>Licens</w:t>
      </w:r>
      <w:r w:rsidR="001F10BC">
        <w:rPr>
          <w:rFonts w:cstheme="minorHAnsi"/>
          <w:b/>
          <w:bCs/>
        </w:rPr>
        <w:t>ure</w:t>
      </w:r>
      <w:r>
        <w:rPr>
          <w:rFonts w:cstheme="minorHAnsi"/>
          <w:b/>
          <w:bCs/>
        </w:rPr>
        <w:t>, E</w:t>
      </w:r>
      <w:r w:rsidR="00772853">
        <w:rPr>
          <w:rFonts w:cstheme="minorHAnsi"/>
          <w:b/>
          <w:bCs/>
        </w:rPr>
        <w:t>ducation</w:t>
      </w:r>
      <w:r w:rsidR="000838A7" w:rsidRPr="003D133E">
        <w:rPr>
          <w:rFonts w:cstheme="minorHAnsi"/>
          <w:b/>
          <w:bCs/>
        </w:rPr>
        <w:t xml:space="preserve"> and Training:</w:t>
      </w:r>
    </w:p>
    <w:p w14:paraId="49D59923" w14:textId="011A6CC4" w:rsidR="00FF08F2" w:rsidRDefault="00AF3012" w:rsidP="00AF3012">
      <w:r w:rsidRPr="2F3F4133">
        <w:t xml:space="preserve">Qualifications for participating </w:t>
      </w:r>
      <w:r w:rsidR="0076293E">
        <w:t xml:space="preserve">clinical </w:t>
      </w:r>
      <w:r w:rsidRPr="2F3F4133">
        <w:t>pharmacist</w:t>
      </w:r>
      <w:r w:rsidR="00A31130" w:rsidRPr="2F3F4133">
        <w:t>(</w:t>
      </w:r>
      <w:r w:rsidRPr="2F3F4133">
        <w:t>s</w:t>
      </w:r>
      <w:r w:rsidR="00A31130" w:rsidRPr="2F3F4133">
        <w:t>)</w:t>
      </w:r>
      <w:r w:rsidRPr="2F3F4133">
        <w:t xml:space="preserve"> include</w:t>
      </w:r>
      <w:r w:rsidR="00FF08F2">
        <w:t>:</w:t>
      </w:r>
    </w:p>
    <w:p w14:paraId="689295F8" w14:textId="6E1235DD" w:rsidR="00FF08F2" w:rsidRDefault="00FF08F2" w:rsidP="00FF08F2">
      <w:pPr>
        <w:pStyle w:val="ListParagraph"/>
        <w:numPr>
          <w:ilvl w:val="0"/>
          <w:numId w:val="20"/>
        </w:numPr>
      </w:pPr>
      <w:r>
        <w:t>A</w:t>
      </w:r>
      <w:r w:rsidR="00BA2D7D" w:rsidRPr="2F3F4133">
        <w:t>n active pharmacist license in the state</w:t>
      </w:r>
      <w:r w:rsidR="004E59F7">
        <w:t>(s)</w:t>
      </w:r>
      <w:r w:rsidR="00BA2D7D" w:rsidRPr="2F3F4133">
        <w:t xml:space="preserve"> of </w:t>
      </w:r>
      <w:r w:rsidR="007E0F6D" w:rsidRPr="004E59F7">
        <w:rPr>
          <w:i/>
          <w:iCs/>
          <w:highlight w:val="yellow"/>
        </w:rPr>
        <w:t xml:space="preserve">[Insert </w:t>
      </w:r>
      <w:r w:rsidR="004E59F7">
        <w:rPr>
          <w:i/>
          <w:iCs/>
          <w:highlight w:val="yellow"/>
        </w:rPr>
        <w:t xml:space="preserve">relevant </w:t>
      </w:r>
      <w:r w:rsidR="007E0F6D" w:rsidRPr="004E59F7">
        <w:rPr>
          <w:i/>
          <w:iCs/>
          <w:highlight w:val="yellow"/>
        </w:rPr>
        <w:t>state</w:t>
      </w:r>
      <w:r w:rsidR="004E59F7">
        <w:rPr>
          <w:i/>
          <w:iCs/>
          <w:highlight w:val="yellow"/>
        </w:rPr>
        <w:t>(s)</w:t>
      </w:r>
      <w:r w:rsidR="007E0F6D" w:rsidRPr="004E59F7">
        <w:rPr>
          <w:i/>
          <w:iCs/>
          <w:highlight w:val="yellow"/>
        </w:rPr>
        <w:t>]</w:t>
      </w:r>
      <w:r w:rsidR="00446544">
        <w:t xml:space="preserve">, </w:t>
      </w:r>
    </w:p>
    <w:p w14:paraId="1826B961" w14:textId="1A6A9098" w:rsidR="007E0F6D" w:rsidRDefault="007E0F6D" w:rsidP="007E0F6D">
      <w:pPr>
        <w:pStyle w:val="ListParagraph"/>
      </w:pPr>
      <w:r>
        <w:t>AND</w:t>
      </w:r>
    </w:p>
    <w:p w14:paraId="0919B63F" w14:textId="6C94220B" w:rsidR="004F0443" w:rsidRPr="00225152" w:rsidRDefault="5F418976">
      <w:pPr>
        <w:pStyle w:val="ListParagraph"/>
        <w:numPr>
          <w:ilvl w:val="0"/>
          <w:numId w:val="20"/>
        </w:numPr>
      </w:pPr>
      <w:r>
        <w:t>Postgraduate year 1 residency training</w:t>
      </w:r>
      <w:r w:rsidRPr="5F418976">
        <w:rPr>
          <w:b/>
          <w:bCs/>
        </w:rPr>
        <w:t xml:space="preserve"> </w:t>
      </w:r>
      <w:r w:rsidRPr="003406FE">
        <w:t xml:space="preserve">plus </w:t>
      </w:r>
      <w:r>
        <w:t>postgraduate year 2 residency training</w:t>
      </w:r>
      <w:r w:rsidR="001F10BC">
        <w:t xml:space="preserve"> (if applicable)</w:t>
      </w:r>
      <w:r>
        <w:t xml:space="preserve"> in </w:t>
      </w:r>
      <w:r w:rsidRPr="5F418976">
        <w:rPr>
          <w:i/>
          <w:iCs/>
          <w:highlight w:val="yellow"/>
        </w:rPr>
        <w:t>[Insert relevant specialties]</w:t>
      </w:r>
      <w:r>
        <w:t xml:space="preserve">. </w:t>
      </w:r>
    </w:p>
    <w:p w14:paraId="204F06AA" w14:textId="115897DD" w:rsidR="004F0443" w:rsidRPr="00225152" w:rsidRDefault="5F418976" w:rsidP="00225152">
      <w:pPr>
        <w:pStyle w:val="ListParagraph"/>
      </w:pPr>
      <w:r>
        <w:t>OR</w:t>
      </w:r>
    </w:p>
    <w:p w14:paraId="6BF7872F" w14:textId="2BF68A13" w:rsidR="00AF3012" w:rsidRPr="00FD2B48" w:rsidRDefault="5C86DE8D" w:rsidP="00225152">
      <w:pPr>
        <w:pStyle w:val="ListParagraph"/>
        <w:numPr>
          <w:ilvl w:val="0"/>
          <w:numId w:val="21"/>
        </w:numPr>
      </w:pPr>
      <w:r>
        <w:t xml:space="preserve"> At least three years of relevant clinical practice experience.  </w:t>
      </w:r>
    </w:p>
    <w:p w14:paraId="16B4194D" w14:textId="77777777" w:rsidR="000838A7" w:rsidRPr="003D133E" w:rsidRDefault="000838A7" w:rsidP="00AF3012">
      <w:pPr>
        <w:rPr>
          <w:rFonts w:cstheme="minorHAnsi"/>
        </w:rPr>
      </w:pPr>
    </w:p>
    <w:p w14:paraId="16A369A9" w14:textId="15946924" w:rsidR="004A61F6" w:rsidRPr="003D133E" w:rsidRDefault="50CA7C96" w:rsidP="50CA7C96">
      <w:pPr>
        <w:rPr>
          <w:b/>
          <w:bCs/>
        </w:rPr>
      </w:pPr>
      <w:r w:rsidRPr="50CA7C96">
        <w:rPr>
          <w:b/>
          <w:bCs/>
        </w:rPr>
        <w:t>Maintenance of Competence:</w:t>
      </w:r>
    </w:p>
    <w:p w14:paraId="60DD5EEE" w14:textId="4106809C" w:rsidR="005F23DB" w:rsidRDefault="00277594" w:rsidP="00F42B11">
      <w:pPr>
        <w:rPr>
          <w:rFonts w:cstheme="minorHAnsi"/>
        </w:rPr>
      </w:pPr>
      <w:proofErr w:type="gramStart"/>
      <w:r w:rsidRPr="003D133E">
        <w:rPr>
          <w:rFonts w:cstheme="minorHAnsi"/>
        </w:rPr>
        <w:t>Participating</w:t>
      </w:r>
      <w:proofErr w:type="gramEnd"/>
      <w:r w:rsidRPr="003D133E">
        <w:rPr>
          <w:rFonts w:cstheme="minorHAnsi"/>
        </w:rPr>
        <w:t xml:space="preserve"> </w:t>
      </w:r>
      <w:r w:rsidR="0076293E">
        <w:rPr>
          <w:rFonts w:cstheme="minorHAnsi"/>
        </w:rPr>
        <w:t xml:space="preserve">clinical </w:t>
      </w:r>
      <w:r w:rsidRPr="003D133E">
        <w:rPr>
          <w:rFonts w:cstheme="minorHAnsi"/>
        </w:rPr>
        <w:t xml:space="preserve">pharmacists will be required to demonstrate </w:t>
      </w:r>
      <w:r w:rsidR="00F52B8C" w:rsidRPr="003D133E">
        <w:rPr>
          <w:rFonts w:cstheme="minorHAnsi"/>
        </w:rPr>
        <w:t xml:space="preserve">ongoing </w:t>
      </w:r>
      <w:r w:rsidR="00D41D25" w:rsidRPr="003D133E">
        <w:rPr>
          <w:rFonts w:cstheme="minorHAnsi"/>
        </w:rPr>
        <w:t>competence through</w:t>
      </w:r>
      <w:r w:rsidR="005F23DB">
        <w:rPr>
          <w:rFonts w:cstheme="minorHAnsi"/>
        </w:rPr>
        <w:t>:</w:t>
      </w:r>
    </w:p>
    <w:p w14:paraId="297CBBBB" w14:textId="49800742" w:rsidR="00111BD3" w:rsidRDefault="00B67302" w:rsidP="005F23DB">
      <w:pPr>
        <w:pStyle w:val="ListParagraph"/>
        <w:numPr>
          <w:ilvl w:val="0"/>
          <w:numId w:val="22"/>
        </w:numPr>
        <w:rPr>
          <w:rFonts w:cstheme="minorHAnsi"/>
        </w:rPr>
      </w:pPr>
      <w:r>
        <w:rPr>
          <w:rFonts w:cstheme="minorHAnsi"/>
        </w:rPr>
        <w:lastRenderedPageBreak/>
        <w:t xml:space="preserve">Completion of continuing education required </w:t>
      </w:r>
      <w:r w:rsidR="0034759B">
        <w:rPr>
          <w:rFonts w:cstheme="minorHAnsi"/>
        </w:rPr>
        <w:t xml:space="preserve">for licensure. </w:t>
      </w:r>
    </w:p>
    <w:p w14:paraId="44EE39F4" w14:textId="11D17660" w:rsidR="0034759B" w:rsidRDefault="0034759B" w:rsidP="0034759B">
      <w:pPr>
        <w:pStyle w:val="ListParagraph"/>
        <w:rPr>
          <w:rFonts w:cstheme="minorHAnsi"/>
        </w:rPr>
      </w:pPr>
      <w:r>
        <w:rPr>
          <w:rFonts w:cstheme="minorHAnsi"/>
        </w:rPr>
        <w:t>AND</w:t>
      </w:r>
    </w:p>
    <w:p w14:paraId="73AA13AE" w14:textId="666AC7B8" w:rsidR="00CF3EDF" w:rsidRDefault="00C1573B" w:rsidP="005F23DB">
      <w:pPr>
        <w:pStyle w:val="ListParagraph"/>
        <w:numPr>
          <w:ilvl w:val="0"/>
          <w:numId w:val="22"/>
        </w:numPr>
        <w:rPr>
          <w:rFonts w:cstheme="minorHAnsi"/>
        </w:rPr>
      </w:pPr>
      <w:r>
        <w:rPr>
          <w:rFonts w:cstheme="minorHAnsi"/>
        </w:rPr>
        <w:t>Obtaining and maintaining</w:t>
      </w:r>
      <w:r w:rsidR="00D41D25" w:rsidRPr="005F23DB">
        <w:rPr>
          <w:rFonts w:cstheme="minorHAnsi"/>
        </w:rPr>
        <w:t xml:space="preserve"> board certification</w:t>
      </w:r>
      <w:r w:rsidR="00A91E85" w:rsidRPr="005F23DB">
        <w:rPr>
          <w:rFonts w:cstheme="minorHAnsi"/>
        </w:rPr>
        <w:t xml:space="preserve"> in</w:t>
      </w:r>
      <w:r w:rsidR="00BF368E">
        <w:rPr>
          <w:rFonts w:cstheme="minorHAnsi"/>
        </w:rPr>
        <w:t xml:space="preserve"> </w:t>
      </w:r>
      <w:r w:rsidR="00BF368E" w:rsidRPr="001265DE">
        <w:rPr>
          <w:rFonts w:cstheme="minorHAnsi"/>
          <w:i/>
          <w:iCs/>
          <w:highlight w:val="yellow"/>
        </w:rPr>
        <w:t>[</w:t>
      </w:r>
      <w:r w:rsidR="00BE24CF" w:rsidRPr="001265DE">
        <w:rPr>
          <w:rFonts w:cstheme="minorHAnsi"/>
          <w:i/>
          <w:iCs/>
          <w:highlight w:val="yellow"/>
        </w:rPr>
        <w:t>i</w:t>
      </w:r>
      <w:r w:rsidR="00BF368E" w:rsidRPr="001265DE">
        <w:rPr>
          <w:rFonts w:cstheme="minorHAnsi"/>
          <w:i/>
          <w:iCs/>
          <w:highlight w:val="yellow"/>
        </w:rPr>
        <w:t xml:space="preserve">nsert </w:t>
      </w:r>
      <w:r w:rsidR="00A91E85" w:rsidRPr="001265DE">
        <w:rPr>
          <w:rFonts w:cstheme="minorHAnsi"/>
          <w:i/>
          <w:iCs/>
          <w:highlight w:val="yellow"/>
        </w:rPr>
        <w:t>relevant specialt</w:t>
      </w:r>
      <w:r w:rsidR="00BE24CF" w:rsidRPr="001265DE">
        <w:rPr>
          <w:rFonts w:cstheme="minorHAnsi"/>
          <w:i/>
          <w:iCs/>
          <w:highlight w:val="yellow"/>
        </w:rPr>
        <w:t>y(ies)</w:t>
      </w:r>
      <w:r w:rsidR="00BF368E" w:rsidRPr="001265DE">
        <w:rPr>
          <w:rFonts w:cstheme="minorHAnsi"/>
          <w:i/>
          <w:iCs/>
          <w:highlight w:val="yellow"/>
        </w:rPr>
        <w:t>]</w:t>
      </w:r>
      <w:r w:rsidR="00D41D25" w:rsidRPr="005F23DB">
        <w:rPr>
          <w:rFonts w:cstheme="minorHAnsi"/>
        </w:rPr>
        <w:t xml:space="preserve"> via the Board of Pharmacy Specialties.  </w:t>
      </w:r>
    </w:p>
    <w:p w14:paraId="0066FAC1" w14:textId="3E04D936" w:rsidR="005C42FE" w:rsidRDefault="00EE13E4" w:rsidP="005C42FE">
      <w:pPr>
        <w:pStyle w:val="ListParagraph"/>
      </w:pPr>
      <w:r>
        <w:t>AND/</w:t>
      </w:r>
      <w:r w:rsidR="005C42FE" w:rsidRPr="58A90E6C">
        <w:t>OR</w:t>
      </w:r>
    </w:p>
    <w:p w14:paraId="08EB703A" w14:textId="61825132" w:rsidR="005C42FE" w:rsidRPr="005F23DB" w:rsidRDefault="5C86DE8D" w:rsidP="5C86DE8D">
      <w:pPr>
        <w:pStyle w:val="ListParagraph"/>
        <w:numPr>
          <w:ilvl w:val="0"/>
          <w:numId w:val="22"/>
        </w:numPr>
      </w:pPr>
      <w:r w:rsidRPr="5C86DE8D">
        <w:t xml:space="preserve">Organization-specific requirements for </w:t>
      </w:r>
      <w:r w:rsidR="00502199">
        <w:t>d</w:t>
      </w:r>
      <w:r w:rsidR="000041B4">
        <w:t xml:space="preserve">emonstration and </w:t>
      </w:r>
      <w:r w:rsidRPr="5C86DE8D">
        <w:t xml:space="preserve">maintenance of competence. </w:t>
      </w:r>
    </w:p>
    <w:p w14:paraId="32FD947E" w14:textId="77777777" w:rsidR="00FC7B52" w:rsidRPr="003D133E" w:rsidRDefault="00FC7B52" w:rsidP="000838A7">
      <w:pPr>
        <w:rPr>
          <w:rFonts w:cstheme="minorHAnsi"/>
        </w:rPr>
      </w:pPr>
    </w:p>
    <w:p w14:paraId="14655B7E" w14:textId="507F43EC" w:rsidR="004A61F6" w:rsidRPr="003D133E" w:rsidRDefault="004A61F6" w:rsidP="005E72EA">
      <w:pPr>
        <w:pBdr>
          <w:bottom w:val="single" w:sz="4" w:space="1" w:color="auto"/>
        </w:pBdr>
        <w:rPr>
          <w:rFonts w:cstheme="minorHAnsi"/>
          <w:b/>
          <w:bCs/>
          <w:caps/>
        </w:rPr>
      </w:pPr>
      <w:r w:rsidRPr="003D133E">
        <w:rPr>
          <w:rFonts w:cstheme="minorHAnsi"/>
          <w:b/>
          <w:bCs/>
          <w:caps/>
        </w:rPr>
        <w:t>Pharmacist Scope of Practice</w:t>
      </w:r>
    </w:p>
    <w:p w14:paraId="2A0897A3" w14:textId="3ECE18F6" w:rsidR="00BA2D7D" w:rsidRPr="001265DE" w:rsidRDefault="00465269" w:rsidP="00AF3012">
      <w:pPr>
        <w:rPr>
          <w:rFonts w:cstheme="minorHAnsi"/>
          <w:i/>
          <w:iCs/>
        </w:rPr>
      </w:pPr>
      <w:r w:rsidRPr="00952603">
        <w:rPr>
          <w:rFonts w:eastAsia="Times New Roman" w:cstheme="minorHAnsi"/>
          <w:color w:val="000000"/>
          <w:kern w:val="0"/>
          <w14:ligatures w14:val="none"/>
        </w:rPr>
        <w:t>Th</w:t>
      </w:r>
      <w:r w:rsidRPr="001324EB">
        <w:rPr>
          <w:rFonts w:eastAsia="Times New Roman" w:cstheme="minorHAnsi"/>
          <w:color w:val="000000"/>
          <w:kern w:val="0"/>
          <w14:ligatures w14:val="none"/>
        </w:rPr>
        <w:t>is scope o</w:t>
      </w:r>
      <w:r w:rsidR="00454E0D">
        <w:rPr>
          <w:rFonts w:eastAsia="Times New Roman" w:cstheme="minorHAnsi"/>
          <w:color w:val="000000"/>
          <w:kern w:val="0"/>
          <w14:ligatures w14:val="none"/>
        </w:rPr>
        <w:t>f</w:t>
      </w:r>
      <w:r w:rsidRPr="001324EB">
        <w:rPr>
          <w:rFonts w:eastAsia="Times New Roman" w:cstheme="minorHAnsi"/>
          <w:color w:val="000000"/>
          <w:kern w:val="0"/>
          <w14:ligatures w14:val="none"/>
        </w:rPr>
        <w:t xml:space="preserve"> practice</w:t>
      </w:r>
      <w:r w:rsidRPr="00952603">
        <w:rPr>
          <w:rFonts w:eastAsia="Times New Roman" w:cstheme="minorHAnsi"/>
          <w:color w:val="000000"/>
          <w:kern w:val="0"/>
          <w14:ligatures w14:val="none"/>
        </w:rPr>
        <w:t xml:space="preserve"> complies with all provisions of </w:t>
      </w:r>
      <w:r w:rsidR="00A64131" w:rsidRPr="001265DE">
        <w:rPr>
          <w:rFonts w:eastAsia="Times New Roman" w:cstheme="minorHAnsi"/>
          <w:i/>
          <w:iCs/>
          <w:color w:val="000000"/>
          <w:kern w:val="0"/>
          <w:highlight w:val="yellow"/>
          <w14:ligatures w14:val="none"/>
        </w:rPr>
        <w:t>[</w:t>
      </w:r>
      <w:r w:rsidR="0025170C">
        <w:rPr>
          <w:rFonts w:eastAsia="Times New Roman" w:cstheme="minorHAnsi"/>
          <w:i/>
          <w:iCs/>
          <w:color w:val="000000"/>
          <w:kern w:val="0"/>
          <w:highlight w:val="yellow"/>
          <w14:ligatures w14:val="none"/>
        </w:rPr>
        <w:t>i</w:t>
      </w:r>
      <w:r w:rsidR="00A64131" w:rsidRPr="001265DE">
        <w:rPr>
          <w:rFonts w:eastAsia="Times New Roman" w:cstheme="minorHAnsi"/>
          <w:i/>
          <w:iCs/>
          <w:color w:val="000000"/>
          <w:kern w:val="0"/>
          <w:highlight w:val="yellow"/>
          <w14:ligatures w14:val="none"/>
        </w:rPr>
        <w:t>nsert relevant state regulations by name and number].</w:t>
      </w:r>
      <w:r w:rsidR="00A64131" w:rsidRPr="001265DE">
        <w:rPr>
          <w:rFonts w:eastAsia="Times New Roman" w:cstheme="minorHAnsi"/>
          <w:i/>
          <w:iCs/>
          <w:color w:val="000000"/>
          <w:kern w:val="0"/>
          <w14:ligatures w14:val="none"/>
        </w:rPr>
        <w:t xml:space="preserve"> </w:t>
      </w:r>
    </w:p>
    <w:p w14:paraId="277E87B3" w14:textId="3DBFE897" w:rsidR="004A61F6" w:rsidRPr="003D133E" w:rsidRDefault="004A61F6" w:rsidP="00AF3012">
      <w:pPr>
        <w:rPr>
          <w:rFonts w:cstheme="minorHAnsi"/>
        </w:rPr>
      </w:pPr>
      <w:r w:rsidRPr="003D133E">
        <w:rPr>
          <w:rFonts w:cstheme="minorHAnsi"/>
        </w:rPr>
        <w:t>This CPA delegates</w:t>
      </w:r>
      <w:r w:rsidR="00C26270" w:rsidRPr="003D133E">
        <w:rPr>
          <w:rFonts w:cstheme="minorHAnsi"/>
        </w:rPr>
        <w:t xml:space="preserve"> authority for</w:t>
      </w:r>
      <w:r w:rsidR="003C2FCC" w:rsidRPr="003D133E">
        <w:rPr>
          <w:rFonts w:cstheme="minorHAnsi"/>
        </w:rPr>
        <w:t xml:space="preserve"> </w:t>
      </w:r>
      <w:r w:rsidR="007626F5" w:rsidRPr="003D133E">
        <w:rPr>
          <w:rFonts w:cstheme="minorHAnsi"/>
        </w:rPr>
        <w:t xml:space="preserve">participating </w:t>
      </w:r>
      <w:r w:rsidR="006A08BE">
        <w:rPr>
          <w:rFonts w:cstheme="minorHAnsi"/>
        </w:rPr>
        <w:t xml:space="preserve">clinical </w:t>
      </w:r>
      <w:r w:rsidR="003C2FCC" w:rsidRPr="003D133E">
        <w:rPr>
          <w:rFonts w:cstheme="minorHAnsi"/>
        </w:rPr>
        <w:t>pharmacist(s) to:</w:t>
      </w:r>
    </w:p>
    <w:p w14:paraId="0F1D839B" w14:textId="03A05D61" w:rsidR="003C2FCC" w:rsidRPr="003406FE" w:rsidRDefault="007137A0" w:rsidP="003C2FCC">
      <w:pPr>
        <w:pStyle w:val="ListParagraph"/>
        <w:numPr>
          <w:ilvl w:val="0"/>
          <w:numId w:val="3"/>
        </w:numPr>
        <w:autoSpaceDE w:val="0"/>
        <w:autoSpaceDN w:val="0"/>
        <w:adjustRightInd w:val="0"/>
        <w:spacing w:after="0" w:line="240" w:lineRule="auto"/>
        <w:rPr>
          <w:rFonts w:cstheme="minorHAnsi"/>
          <w:kern w:val="0"/>
        </w:rPr>
      </w:pPr>
      <w:r w:rsidRPr="00A22BAF">
        <w:rPr>
          <w:rFonts w:cstheme="minorHAnsi"/>
          <w:kern w:val="0"/>
        </w:rPr>
        <w:t xml:space="preserve">Perform physical assessment </w:t>
      </w:r>
      <w:r w:rsidR="007626F5" w:rsidRPr="00A22BAF">
        <w:rPr>
          <w:rFonts w:cstheme="minorHAnsi"/>
          <w:kern w:val="0"/>
        </w:rPr>
        <w:t xml:space="preserve">including </w:t>
      </w:r>
      <w:r w:rsidR="00DC23FB" w:rsidRPr="00A22BAF">
        <w:rPr>
          <w:rFonts w:cstheme="minorHAnsi"/>
          <w:kern w:val="0"/>
        </w:rPr>
        <w:t xml:space="preserve">arterial blood pressure, heart rate, </w:t>
      </w:r>
      <w:r w:rsidR="00960ABB" w:rsidRPr="00A22BAF">
        <w:rPr>
          <w:rFonts w:cstheme="minorHAnsi"/>
          <w:kern w:val="0"/>
        </w:rPr>
        <w:t xml:space="preserve">respiratory rate, weight, </w:t>
      </w:r>
      <w:r w:rsidR="00193AAB" w:rsidRPr="00A22BAF">
        <w:rPr>
          <w:rFonts w:cstheme="minorHAnsi"/>
          <w:kern w:val="0"/>
        </w:rPr>
        <w:t>visual inspection</w:t>
      </w:r>
      <w:r w:rsidR="003F1C80" w:rsidRPr="00A22BAF">
        <w:rPr>
          <w:rFonts w:cstheme="minorHAnsi"/>
          <w:kern w:val="0"/>
        </w:rPr>
        <w:t>/palpation</w:t>
      </w:r>
      <w:r w:rsidR="00770F36" w:rsidRPr="00A22BAF">
        <w:rPr>
          <w:rFonts w:cstheme="minorHAnsi"/>
          <w:kern w:val="0"/>
        </w:rPr>
        <w:t xml:space="preserve"> (e.g., </w:t>
      </w:r>
      <w:r w:rsidR="001A4195" w:rsidRPr="00A22BAF">
        <w:rPr>
          <w:rFonts w:cstheme="minorHAnsi"/>
          <w:kern w:val="0"/>
        </w:rPr>
        <w:t>peripheral edema</w:t>
      </w:r>
      <w:r w:rsidR="00770F36" w:rsidRPr="00A22BAF">
        <w:rPr>
          <w:rFonts w:cstheme="minorHAnsi"/>
          <w:kern w:val="0"/>
        </w:rPr>
        <w:t>, rash, discoloration</w:t>
      </w:r>
      <w:r w:rsidR="006819B0" w:rsidRPr="00A22BAF">
        <w:rPr>
          <w:rFonts w:cstheme="minorHAnsi"/>
          <w:kern w:val="0"/>
        </w:rPr>
        <w:t>)</w:t>
      </w:r>
      <w:r w:rsidR="00210627">
        <w:rPr>
          <w:rFonts w:cstheme="minorHAnsi"/>
          <w:kern w:val="0"/>
        </w:rPr>
        <w:t xml:space="preserve">, </w:t>
      </w:r>
      <w:r w:rsidR="00FA2874">
        <w:rPr>
          <w:rFonts w:cstheme="minorHAnsi"/>
          <w:kern w:val="0"/>
        </w:rPr>
        <w:t xml:space="preserve">or others </w:t>
      </w:r>
      <w:r w:rsidR="00FA2874" w:rsidRPr="003406FE">
        <w:rPr>
          <w:rFonts w:cstheme="minorHAnsi"/>
          <w:kern w:val="0"/>
        </w:rPr>
        <w:t>deemed necessary by clinical pharmacist or referring physician</w:t>
      </w:r>
      <w:r w:rsidR="007A106F" w:rsidRPr="003406FE">
        <w:rPr>
          <w:rFonts w:cstheme="minorHAnsi"/>
          <w:kern w:val="0"/>
        </w:rPr>
        <w:t>.</w:t>
      </w:r>
    </w:p>
    <w:p w14:paraId="48CAE7DC" w14:textId="1973CCC2" w:rsidR="007137A0" w:rsidRPr="00C80470" w:rsidRDefault="007137A0" w:rsidP="007137A0">
      <w:pPr>
        <w:pStyle w:val="ListParagraph"/>
        <w:numPr>
          <w:ilvl w:val="0"/>
          <w:numId w:val="3"/>
        </w:numPr>
        <w:autoSpaceDE w:val="0"/>
        <w:autoSpaceDN w:val="0"/>
        <w:adjustRightInd w:val="0"/>
        <w:spacing w:after="0" w:line="240" w:lineRule="auto"/>
        <w:rPr>
          <w:kern w:val="0"/>
        </w:rPr>
      </w:pPr>
      <w:r w:rsidRPr="003406FE">
        <w:rPr>
          <w:kern w:val="0"/>
        </w:rPr>
        <w:t xml:space="preserve">Initiate </w:t>
      </w:r>
      <w:r w:rsidR="006819B0" w:rsidRPr="003406FE">
        <w:rPr>
          <w:kern w:val="0"/>
        </w:rPr>
        <w:t>pharmaco</w:t>
      </w:r>
      <w:r w:rsidRPr="003406FE">
        <w:rPr>
          <w:kern w:val="0"/>
        </w:rPr>
        <w:t xml:space="preserve">therapy </w:t>
      </w:r>
      <w:r w:rsidR="006819B0" w:rsidRPr="003406FE">
        <w:rPr>
          <w:kern w:val="0"/>
        </w:rPr>
        <w:t xml:space="preserve">to achieve </w:t>
      </w:r>
      <w:r w:rsidR="00B61971" w:rsidRPr="003406FE">
        <w:rPr>
          <w:kern w:val="0"/>
        </w:rPr>
        <w:t xml:space="preserve">patient-specific, evidence-based </w:t>
      </w:r>
      <w:r w:rsidR="006819B0" w:rsidRPr="003406FE">
        <w:rPr>
          <w:kern w:val="0"/>
        </w:rPr>
        <w:t xml:space="preserve">therapeutic goals in accordance </w:t>
      </w:r>
      <w:r w:rsidRPr="2F3F4133">
        <w:rPr>
          <w:kern w:val="0"/>
        </w:rPr>
        <w:t xml:space="preserve">with </w:t>
      </w:r>
      <w:r w:rsidR="00F5324A" w:rsidRPr="2F3F4133">
        <w:rPr>
          <w:kern w:val="0"/>
        </w:rPr>
        <w:t>standard of care/</w:t>
      </w:r>
      <w:r w:rsidRPr="2F3F4133">
        <w:rPr>
          <w:kern w:val="0"/>
        </w:rPr>
        <w:t>guidelines</w:t>
      </w:r>
      <w:r w:rsidR="0032437F" w:rsidRPr="2F3F4133">
        <w:rPr>
          <w:kern w:val="0"/>
        </w:rPr>
        <w:t xml:space="preserve"> (Appendix </w:t>
      </w:r>
      <w:r w:rsidR="00C70491">
        <w:rPr>
          <w:kern w:val="0"/>
        </w:rPr>
        <w:t>A</w:t>
      </w:r>
      <w:r w:rsidR="0032437F" w:rsidRPr="00C80470">
        <w:rPr>
          <w:kern w:val="0"/>
        </w:rPr>
        <w:t>)</w:t>
      </w:r>
      <w:r w:rsidR="00C70491">
        <w:rPr>
          <w:kern w:val="0"/>
        </w:rPr>
        <w:t xml:space="preserve"> and any organization-specific protocols (Appendix B).  </w:t>
      </w:r>
    </w:p>
    <w:p w14:paraId="1353862A" w14:textId="2052D0CB" w:rsidR="007137A0" w:rsidRPr="00A22BAF" w:rsidRDefault="007137A0" w:rsidP="5C86DE8D">
      <w:pPr>
        <w:pStyle w:val="ListParagraph"/>
        <w:numPr>
          <w:ilvl w:val="0"/>
          <w:numId w:val="3"/>
        </w:numPr>
        <w:autoSpaceDE w:val="0"/>
        <w:autoSpaceDN w:val="0"/>
        <w:adjustRightInd w:val="0"/>
        <w:spacing w:after="0" w:line="240" w:lineRule="auto"/>
        <w:rPr>
          <w:kern w:val="0"/>
        </w:rPr>
      </w:pPr>
      <w:r w:rsidRPr="5C86DE8D">
        <w:rPr>
          <w:kern w:val="0"/>
        </w:rPr>
        <w:t xml:space="preserve">Modify or discontinue </w:t>
      </w:r>
      <w:r w:rsidR="00387C4A" w:rsidRPr="5C86DE8D">
        <w:rPr>
          <w:kern w:val="0"/>
        </w:rPr>
        <w:t>pharmaco</w:t>
      </w:r>
      <w:r w:rsidRPr="5C86DE8D">
        <w:rPr>
          <w:kern w:val="0"/>
        </w:rPr>
        <w:t>therapy</w:t>
      </w:r>
      <w:r w:rsidR="00387C4A" w:rsidRPr="5C86DE8D">
        <w:rPr>
          <w:kern w:val="0"/>
        </w:rPr>
        <w:t xml:space="preserve"> </w:t>
      </w:r>
      <w:r w:rsidRPr="5C86DE8D">
        <w:rPr>
          <w:kern w:val="0"/>
        </w:rPr>
        <w:t>in</w:t>
      </w:r>
      <w:r w:rsidR="00387C4A" w:rsidRPr="5C86DE8D">
        <w:rPr>
          <w:kern w:val="0"/>
        </w:rPr>
        <w:t xml:space="preserve"> accordance with</w:t>
      </w:r>
      <w:r w:rsidRPr="5C86DE8D">
        <w:rPr>
          <w:kern w:val="0"/>
        </w:rPr>
        <w:t xml:space="preserve"> </w:t>
      </w:r>
      <w:r w:rsidR="00F5324A" w:rsidRPr="5C86DE8D">
        <w:rPr>
          <w:kern w:val="0"/>
        </w:rPr>
        <w:t>standard of care/</w:t>
      </w:r>
      <w:r w:rsidRPr="5C86DE8D">
        <w:rPr>
          <w:kern w:val="0"/>
        </w:rPr>
        <w:t>approved guidelines</w:t>
      </w:r>
      <w:r w:rsidR="0032437F" w:rsidRPr="5C86DE8D">
        <w:rPr>
          <w:kern w:val="0"/>
        </w:rPr>
        <w:t xml:space="preserve"> (Append</w:t>
      </w:r>
      <w:r w:rsidR="00BE5AA8" w:rsidRPr="5C86DE8D">
        <w:rPr>
          <w:kern w:val="0"/>
        </w:rPr>
        <w:t>ices</w:t>
      </w:r>
      <w:r w:rsidR="0032437F" w:rsidRPr="5C86DE8D">
        <w:rPr>
          <w:kern w:val="0"/>
        </w:rPr>
        <w:t xml:space="preserve"> </w:t>
      </w:r>
      <w:r w:rsidR="00C70491" w:rsidRPr="5C86DE8D">
        <w:rPr>
          <w:kern w:val="0"/>
        </w:rPr>
        <w:t>A</w:t>
      </w:r>
      <w:r w:rsidR="00BE5AA8" w:rsidRPr="5C86DE8D">
        <w:rPr>
          <w:kern w:val="0"/>
        </w:rPr>
        <w:t xml:space="preserve"> and B</w:t>
      </w:r>
      <w:r w:rsidR="0032437F" w:rsidRPr="5C86DE8D">
        <w:rPr>
          <w:kern w:val="0"/>
        </w:rPr>
        <w:t>)</w:t>
      </w:r>
      <w:r w:rsidR="0075071F" w:rsidRPr="5C86DE8D">
        <w:rPr>
          <w:kern w:val="0"/>
        </w:rPr>
        <w:t>.</w:t>
      </w:r>
    </w:p>
    <w:p w14:paraId="6778133F" w14:textId="38C60E9A" w:rsidR="007137A0" w:rsidRPr="00A22BAF" w:rsidRDefault="007137A0" w:rsidP="007137A0">
      <w:pPr>
        <w:pStyle w:val="ListParagraph"/>
        <w:numPr>
          <w:ilvl w:val="0"/>
          <w:numId w:val="3"/>
        </w:numPr>
        <w:autoSpaceDE w:val="0"/>
        <w:autoSpaceDN w:val="0"/>
        <w:adjustRightInd w:val="0"/>
        <w:spacing w:after="0" w:line="240" w:lineRule="auto"/>
        <w:rPr>
          <w:rFonts w:cstheme="minorHAnsi"/>
          <w:kern w:val="0"/>
        </w:rPr>
      </w:pPr>
      <w:r w:rsidRPr="00A22BAF">
        <w:rPr>
          <w:rFonts w:eastAsia="TimesNewRomanPSMT" w:cstheme="minorHAnsi"/>
          <w:kern w:val="0"/>
        </w:rPr>
        <w:t xml:space="preserve">Order appropriate tests necessary to determine </w:t>
      </w:r>
      <w:r w:rsidR="0076293E" w:rsidRPr="00A22BAF">
        <w:rPr>
          <w:rFonts w:eastAsia="TimesNewRomanPSMT" w:cstheme="minorHAnsi"/>
          <w:kern w:val="0"/>
        </w:rPr>
        <w:t>baseline</w:t>
      </w:r>
      <w:r w:rsidRPr="00A22BAF">
        <w:rPr>
          <w:rFonts w:eastAsia="TimesNewRomanPSMT" w:cstheme="minorHAnsi"/>
          <w:kern w:val="0"/>
        </w:rPr>
        <w:t xml:space="preserve"> level or to monitor the efficacy or </w:t>
      </w:r>
      <w:r w:rsidR="0075071F" w:rsidRPr="00A22BAF">
        <w:rPr>
          <w:rFonts w:eastAsia="TimesNewRomanPSMT" w:cstheme="minorHAnsi"/>
          <w:kern w:val="0"/>
        </w:rPr>
        <w:t>safety</w:t>
      </w:r>
      <w:r w:rsidRPr="00A22BAF">
        <w:rPr>
          <w:rFonts w:eastAsia="TimesNewRomanPSMT" w:cstheme="minorHAnsi"/>
          <w:kern w:val="0"/>
        </w:rPr>
        <w:t xml:space="preserve"> of </w:t>
      </w:r>
      <w:r w:rsidR="0075071F" w:rsidRPr="00A22BAF">
        <w:rPr>
          <w:rFonts w:eastAsia="TimesNewRomanPSMT" w:cstheme="minorHAnsi"/>
          <w:kern w:val="0"/>
        </w:rPr>
        <w:t xml:space="preserve">pharmacotherapy. </w:t>
      </w:r>
      <w:r w:rsidR="006D59AF" w:rsidRPr="00A22BAF">
        <w:rPr>
          <w:rFonts w:eastAsia="TimesNewRomanPSMT" w:cstheme="minorHAnsi"/>
          <w:kern w:val="0"/>
        </w:rPr>
        <w:t xml:space="preserve">(Appendix </w:t>
      </w:r>
      <w:r w:rsidR="0053352D">
        <w:rPr>
          <w:rFonts w:eastAsia="TimesNewRomanPSMT" w:cstheme="minorHAnsi"/>
          <w:kern w:val="0"/>
        </w:rPr>
        <w:t>C</w:t>
      </w:r>
      <w:r w:rsidR="006D59AF" w:rsidRPr="00A22BAF">
        <w:rPr>
          <w:rFonts w:eastAsia="TimesNewRomanPSMT" w:cstheme="minorHAnsi"/>
          <w:kern w:val="0"/>
        </w:rPr>
        <w:t>)</w:t>
      </w:r>
      <w:r w:rsidR="0075071F" w:rsidRPr="00A22BAF">
        <w:rPr>
          <w:rFonts w:eastAsia="TimesNewRomanPSMT" w:cstheme="minorHAnsi"/>
          <w:kern w:val="0"/>
        </w:rPr>
        <w:t xml:space="preserve"> </w:t>
      </w:r>
    </w:p>
    <w:p w14:paraId="55291499" w14:textId="7057438E" w:rsidR="007137A0" w:rsidRDefault="007137A0" w:rsidP="00C01998">
      <w:pPr>
        <w:pStyle w:val="ListParagraph"/>
        <w:numPr>
          <w:ilvl w:val="0"/>
          <w:numId w:val="3"/>
        </w:numPr>
        <w:autoSpaceDE w:val="0"/>
        <w:autoSpaceDN w:val="0"/>
        <w:adjustRightInd w:val="0"/>
        <w:spacing w:after="0" w:line="240" w:lineRule="auto"/>
        <w:rPr>
          <w:rFonts w:eastAsia="TimesNewRomanPSMT" w:cstheme="minorHAnsi"/>
          <w:kern w:val="0"/>
        </w:rPr>
      </w:pPr>
      <w:r w:rsidRPr="00A22BAF">
        <w:rPr>
          <w:rFonts w:eastAsia="TimesNewRomanPSMT" w:cstheme="minorHAnsi"/>
          <w:kern w:val="0"/>
        </w:rPr>
        <w:t xml:space="preserve">Perform point-of-care testing to monitor the efficacy or </w:t>
      </w:r>
      <w:r w:rsidR="00F92133" w:rsidRPr="00A22BAF">
        <w:rPr>
          <w:rFonts w:eastAsia="TimesNewRomanPSMT" w:cstheme="minorHAnsi"/>
          <w:kern w:val="0"/>
        </w:rPr>
        <w:t>safety of pharmacotherapy</w:t>
      </w:r>
      <w:r w:rsidR="00AB4F93" w:rsidRPr="00A22BAF">
        <w:rPr>
          <w:rFonts w:eastAsia="TimesNewRomanPSMT" w:cstheme="minorHAnsi"/>
          <w:kern w:val="0"/>
        </w:rPr>
        <w:t xml:space="preserve">.  </w:t>
      </w:r>
      <w:r w:rsidR="006D59AF" w:rsidRPr="00A22BAF">
        <w:rPr>
          <w:rFonts w:eastAsia="TimesNewRomanPSMT" w:cstheme="minorHAnsi"/>
          <w:kern w:val="0"/>
        </w:rPr>
        <w:t xml:space="preserve">(Appendix </w:t>
      </w:r>
      <w:r w:rsidR="0053352D">
        <w:rPr>
          <w:rFonts w:eastAsia="TimesNewRomanPSMT" w:cstheme="minorHAnsi"/>
          <w:kern w:val="0"/>
        </w:rPr>
        <w:t>C</w:t>
      </w:r>
      <w:r w:rsidR="006D59AF" w:rsidRPr="00A22BAF">
        <w:rPr>
          <w:rFonts w:eastAsia="TimesNewRomanPSMT" w:cstheme="minorHAnsi"/>
          <w:kern w:val="0"/>
        </w:rPr>
        <w:t>)</w:t>
      </w:r>
    </w:p>
    <w:p w14:paraId="15176B5D" w14:textId="515B525F" w:rsidR="00C95D2C" w:rsidRDefault="00C95D2C" w:rsidP="00C01998">
      <w:pPr>
        <w:pStyle w:val="ListParagraph"/>
        <w:numPr>
          <w:ilvl w:val="0"/>
          <w:numId w:val="3"/>
        </w:numPr>
        <w:autoSpaceDE w:val="0"/>
        <w:autoSpaceDN w:val="0"/>
        <w:adjustRightInd w:val="0"/>
        <w:spacing w:after="0" w:line="240" w:lineRule="auto"/>
        <w:rPr>
          <w:rFonts w:eastAsia="TimesNewRomanPSMT" w:cstheme="minorHAnsi"/>
          <w:kern w:val="0"/>
        </w:rPr>
      </w:pPr>
      <w:r>
        <w:rPr>
          <w:rFonts w:eastAsia="TimesNewRomanPSMT" w:cstheme="minorHAnsi"/>
          <w:kern w:val="0"/>
        </w:rPr>
        <w:t xml:space="preserve">Order and/or administer </w:t>
      </w:r>
      <w:r w:rsidR="008E0CBA">
        <w:rPr>
          <w:rFonts w:eastAsia="TimesNewRomanPSMT" w:cstheme="minorHAnsi"/>
          <w:kern w:val="0"/>
        </w:rPr>
        <w:t xml:space="preserve">immunizations in accordance with standard of care and state regulations. </w:t>
      </w:r>
    </w:p>
    <w:p w14:paraId="7B7848EC" w14:textId="51E4BA87" w:rsidR="00CE09F4" w:rsidRPr="00C70060" w:rsidRDefault="00CE09F4" w:rsidP="00CE09F4">
      <w:pPr>
        <w:pStyle w:val="ListParagraph"/>
        <w:autoSpaceDE w:val="0"/>
        <w:autoSpaceDN w:val="0"/>
        <w:adjustRightInd w:val="0"/>
        <w:spacing w:after="0" w:line="240" w:lineRule="auto"/>
        <w:rPr>
          <w:rFonts w:eastAsia="TimesNewRomanPSMT" w:cstheme="minorHAnsi"/>
          <w:kern w:val="0"/>
        </w:rPr>
      </w:pPr>
    </w:p>
    <w:p w14:paraId="7E71C514" w14:textId="12CD242C" w:rsidR="00C70060" w:rsidRPr="00C70060" w:rsidRDefault="00C70060" w:rsidP="00C70060">
      <w:pPr>
        <w:pStyle w:val="NormalWeb"/>
        <w:spacing w:before="0" w:beforeAutospacing="0" w:after="0" w:afterAutospacing="0"/>
        <w:jc w:val="both"/>
        <w:rPr>
          <w:rFonts w:asciiTheme="minorHAnsi" w:hAnsiTheme="minorHAnsi" w:cstheme="minorHAnsi"/>
          <w:sz w:val="22"/>
          <w:szCs w:val="22"/>
        </w:rPr>
      </w:pPr>
      <w:r w:rsidRPr="00C70060">
        <w:rPr>
          <w:rFonts w:asciiTheme="minorHAnsi" w:hAnsiTheme="minorHAnsi" w:cstheme="minorHAnsi"/>
          <w:color w:val="000000"/>
          <w:sz w:val="22"/>
          <w:szCs w:val="22"/>
        </w:rPr>
        <w:t xml:space="preserve">The clinical pharmacist </w:t>
      </w:r>
      <w:r w:rsidR="00060E0B">
        <w:rPr>
          <w:rFonts w:asciiTheme="minorHAnsi" w:hAnsiTheme="minorHAnsi" w:cstheme="minorHAnsi"/>
          <w:color w:val="000000"/>
          <w:sz w:val="22"/>
          <w:szCs w:val="22"/>
        </w:rPr>
        <w:t>will</w:t>
      </w:r>
      <w:r w:rsidR="00060E0B" w:rsidRPr="00C70060">
        <w:rPr>
          <w:rFonts w:asciiTheme="minorHAnsi" w:hAnsiTheme="minorHAnsi" w:cstheme="minorHAnsi"/>
          <w:color w:val="000000"/>
          <w:sz w:val="22"/>
          <w:szCs w:val="22"/>
        </w:rPr>
        <w:t xml:space="preserve"> </w:t>
      </w:r>
      <w:r w:rsidRPr="00C70060">
        <w:rPr>
          <w:rFonts w:asciiTheme="minorHAnsi" w:hAnsiTheme="minorHAnsi" w:cstheme="minorHAnsi"/>
          <w:color w:val="000000"/>
          <w:sz w:val="22"/>
          <w:szCs w:val="22"/>
        </w:rPr>
        <w:t xml:space="preserve">not </w:t>
      </w:r>
      <w:r w:rsidR="0019677D">
        <w:rPr>
          <w:rFonts w:asciiTheme="minorHAnsi" w:hAnsiTheme="minorHAnsi" w:cstheme="minorHAnsi"/>
          <w:color w:val="000000"/>
          <w:sz w:val="22"/>
          <w:szCs w:val="22"/>
        </w:rPr>
        <w:t xml:space="preserve">formally </w:t>
      </w:r>
      <w:r w:rsidRPr="00C70060">
        <w:rPr>
          <w:rFonts w:asciiTheme="minorHAnsi" w:hAnsiTheme="minorHAnsi" w:cstheme="minorHAnsi"/>
          <w:color w:val="000000"/>
          <w:sz w:val="22"/>
          <w:szCs w:val="22"/>
        </w:rPr>
        <w:t xml:space="preserve">diagnose any </w:t>
      </w:r>
      <w:r w:rsidR="000D6B4B">
        <w:rPr>
          <w:rFonts w:asciiTheme="minorHAnsi" w:hAnsiTheme="minorHAnsi" w:cstheme="minorHAnsi"/>
          <w:color w:val="000000"/>
          <w:sz w:val="22"/>
          <w:szCs w:val="22"/>
        </w:rPr>
        <w:t xml:space="preserve">new </w:t>
      </w:r>
      <w:r w:rsidRPr="00C70060">
        <w:rPr>
          <w:rFonts w:asciiTheme="minorHAnsi" w:hAnsiTheme="minorHAnsi" w:cstheme="minorHAnsi"/>
          <w:color w:val="000000"/>
          <w:sz w:val="22"/>
          <w:szCs w:val="22"/>
        </w:rPr>
        <w:t xml:space="preserve">medical problem or condition as part of this </w:t>
      </w:r>
      <w:r w:rsidR="00012336">
        <w:rPr>
          <w:rFonts w:asciiTheme="minorHAnsi" w:hAnsiTheme="minorHAnsi" w:cstheme="minorHAnsi"/>
          <w:color w:val="000000"/>
          <w:sz w:val="22"/>
          <w:szCs w:val="22"/>
        </w:rPr>
        <w:t xml:space="preserve">agreement.   </w:t>
      </w:r>
    </w:p>
    <w:p w14:paraId="7E5DC03A" w14:textId="77777777" w:rsidR="00C70060" w:rsidRDefault="00C70060" w:rsidP="00CE09F4">
      <w:pPr>
        <w:pStyle w:val="ListParagraph"/>
        <w:autoSpaceDE w:val="0"/>
        <w:autoSpaceDN w:val="0"/>
        <w:adjustRightInd w:val="0"/>
        <w:spacing w:after="0" w:line="240" w:lineRule="auto"/>
        <w:rPr>
          <w:rFonts w:eastAsia="TimesNewRomanPSMT" w:cstheme="minorHAnsi"/>
          <w:kern w:val="0"/>
        </w:rPr>
      </w:pPr>
    </w:p>
    <w:p w14:paraId="42121D82" w14:textId="77777777" w:rsidR="00AE5756" w:rsidRPr="003D133E" w:rsidRDefault="00AE5756" w:rsidP="00386881">
      <w:pPr>
        <w:pStyle w:val="ListParagraph"/>
        <w:autoSpaceDE w:val="0"/>
        <w:autoSpaceDN w:val="0"/>
        <w:adjustRightInd w:val="0"/>
        <w:spacing w:after="0" w:line="240" w:lineRule="auto"/>
        <w:rPr>
          <w:rFonts w:cstheme="minorHAnsi"/>
          <w:kern w:val="0"/>
        </w:rPr>
      </w:pPr>
    </w:p>
    <w:p w14:paraId="09179572" w14:textId="381DD219" w:rsidR="00BA2D7D" w:rsidRPr="003D133E" w:rsidRDefault="00BA2D7D" w:rsidP="005E72EA">
      <w:pPr>
        <w:pBdr>
          <w:bottom w:val="single" w:sz="4" w:space="1" w:color="auto"/>
        </w:pBdr>
        <w:rPr>
          <w:rFonts w:cstheme="minorHAnsi"/>
          <w:b/>
          <w:bCs/>
          <w:caps/>
        </w:rPr>
      </w:pPr>
      <w:r w:rsidRPr="003D133E">
        <w:rPr>
          <w:rFonts w:cstheme="minorHAnsi"/>
          <w:b/>
          <w:bCs/>
          <w:caps/>
        </w:rPr>
        <w:t>data access and documentation</w:t>
      </w:r>
    </w:p>
    <w:p w14:paraId="0AA048E8" w14:textId="3A42EF33" w:rsidR="00727A11" w:rsidRPr="003D133E" w:rsidRDefault="5C86DE8D" w:rsidP="00AF3012">
      <w:r>
        <w:t xml:space="preserve">Participating </w:t>
      </w:r>
      <w:r w:rsidR="0076293E">
        <w:t xml:space="preserve">clinical </w:t>
      </w:r>
      <w:r>
        <w:t>pharmacists will be provided access to patient electronic health records and will have the authority and responsibility to view prior documentation</w:t>
      </w:r>
      <w:r w:rsidR="00543C40">
        <w:t xml:space="preserve"> including clinical progress notes </w:t>
      </w:r>
      <w:r w:rsidR="00606365">
        <w:t>and test</w:t>
      </w:r>
      <w:r w:rsidR="00543C40">
        <w:t xml:space="preserve"> results</w:t>
      </w:r>
      <w:r>
        <w:t xml:space="preserve"> and document each patient encounter within the health record within </w:t>
      </w:r>
      <w:r w:rsidR="00333D60" w:rsidRPr="00333D60">
        <w:rPr>
          <w:i/>
          <w:iCs/>
          <w:highlight w:val="yellow"/>
        </w:rPr>
        <w:t>[</w:t>
      </w:r>
      <w:r w:rsidRPr="00333D60">
        <w:rPr>
          <w:i/>
          <w:iCs/>
          <w:highlight w:val="yellow"/>
        </w:rPr>
        <w:t>a timeframe determined by organizational policy.</w:t>
      </w:r>
      <w:r w:rsidR="00333D60" w:rsidRPr="00333D60">
        <w:rPr>
          <w:i/>
          <w:iCs/>
          <w:highlight w:val="yellow"/>
        </w:rPr>
        <w:t>]</w:t>
      </w:r>
      <w:r>
        <w:t xml:space="preserve">  </w:t>
      </w:r>
    </w:p>
    <w:p w14:paraId="681C4512" w14:textId="4054A422" w:rsidR="002A79F0" w:rsidRPr="003D133E" w:rsidRDefault="00A23BBF" w:rsidP="00AF3012">
      <w:pPr>
        <w:rPr>
          <w:i/>
        </w:rPr>
      </w:pPr>
      <w:r>
        <w:t>D</w:t>
      </w:r>
      <w:r w:rsidR="002A79F0" w:rsidRPr="2F3F4133">
        <w:t xml:space="preserve">ocumentation will </w:t>
      </w:r>
      <w:r w:rsidR="00267999">
        <w:t xml:space="preserve">be </w:t>
      </w:r>
      <w:r w:rsidR="00DD0FB7">
        <w:t xml:space="preserve">entered for each </w:t>
      </w:r>
      <w:proofErr w:type="gramStart"/>
      <w:r w:rsidR="00DD0FB7">
        <w:t>encounter</w:t>
      </w:r>
      <w:proofErr w:type="gramEnd"/>
      <w:r w:rsidR="00DD0FB7">
        <w:t xml:space="preserve"> and the referring physician will be notified via </w:t>
      </w:r>
      <w:r w:rsidR="00B74886" w:rsidRPr="00B74886">
        <w:rPr>
          <w:i/>
          <w:iCs/>
          <w:highlight w:val="yellow"/>
        </w:rPr>
        <w:t>[</w:t>
      </w:r>
      <w:r w:rsidRPr="00B74886">
        <w:rPr>
          <w:i/>
          <w:iCs/>
          <w:highlight w:val="yellow"/>
        </w:rPr>
        <w:t xml:space="preserve">progress note </w:t>
      </w:r>
      <w:r w:rsidR="00B74886" w:rsidRPr="00B74886">
        <w:rPr>
          <w:i/>
          <w:iCs/>
          <w:highlight w:val="yellow"/>
        </w:rPr>
        <w:t>or other method as per organizational policy]</w:t>
      </w:r>
      <w:r w:rsidR="00B74886">
        <w:t xml:space="preserve"> </w:t>
      </w:r>
      <w:r w:rsidR="00DD0FB7">
        <w:t xml:space="preserve">of any </w:t>
      </w:r>
      <w:r>
        <w:t>therapy changes</w:t>
      </w:r>
      <w:r w:rsidR="0080605F">
        <w:t xml:space="preserve"> and the rationale for those changes. </w:t>
      </w:r>
    </w:p>
    <w:p w14:paraId="35B042FF" w14:textId="2639381D" w:rsidR="00727A11" w:rsidRPr="003D133E" w:rsidRDefault="5C86DE8D" w:rsidP="5C86DE8D">
      <w:r w:rsidRPr="5C86DE8D">
        <w:t xml:space="preserve">All laboratory orders </w:t>
      </w:r>
      <w:r w:rsidR="002508DB">
        <w:t>initiated</w:t>
      </w:r>
      <w:r w:rsidR="002508DB" w:rsidRPr="5C86DE8D">
        <w:t xml:space="preserve"> </w:t>
      </w:r>
      <w:r w:rsidRPr="5C86DE8D">
        <w:t>pursuant to this agreement will accompany encounter documentation</w:t>
      </w:r>
      <w:r w:rsidR="007D66A1">
        <w:t>.</w:t>
      </w:r>
      <w:r w:rsidRPr="5C86DE8D">
        <w:t xml:space="preserve"> </w:t>
      </w:r>
    </w:p>
    <w:p w14:paraId="2404E9A2" w14:textId="78A575B7" w:rsidR="00727A11" w:rsidRPr="003D133E" w:rsidRDefault="5C86DE8D" w:rsidP="5C86DE8D">
      <w:r w:rsidRPr="5C86DE8D">
        <w:t xml:space="preserve">All medication orders </w:t>
      </w:r>
      <w:r w:rsidR="000D61AE">
        <w:t>initiated</w:t>
      </w:r>
      <w:r w:rsidR="000D61AE" w:rsidRPr="5C86DE8D">
        <w:t xml:space="preserve"> </w:t>
      </w:r>
      <w:r w:rsidRPr="5C86DE8D">
        <w:t>pursuant to this agreement will accompany encounter documentation</w:t>
      </w:r>
      <w:r w:rsidR="007D66A1">
        <w:t xml:space="preserve">. </w:t>
      </w:r>
    </w:p>
    <w:p w14:paraId="140B38A9" w14:textId="2CBA27FF" w:rsidR="002A79F0" w:rsidRPr="003D133E" w:rsidRDefault="5C86DE8D" w:rsidP="002A79F0">
      <w:r w:rsidRPr="5C86DE8D">
        <w:rPr>
          <w:i/>
          <w:iCs/>
          <w:highlight w:val="yellow"/>
        </w:rPr>
        <w:lastRenderedPageBreak/>
        <w:t>[</w:t>
      </w:r>
      <w:r w:rsidR="002A4369">
        <w:rPr>
          <w:i/>
          <w:iCs/>
          <w:highlight w:val="yellow"/>
        </w:rPr>
        <w:t>I</w:t>
      </w:r>
      <w:r w:rsidRPr="5C86DE8D">
        <w:rPr>
          <w:i/>
          <w:iCs/>
          <w:highlight w:val="yellow"/>
        </w:rPr>
        <w:t xml:space="preserve">nsert </w:t>
      </w:r>
      <w:r w:rsidR="002A4369">
        <w:rPr>
          <w:i/>
          <w:iCs/>
          <w:highlight w:val="yellow"/>
        </w:rPr>
        <w:t xml:space="preserve">any </w:t>
      </w:r>
      <w:r w:rsidRPr="5C86DE8D">
        <w:rPr>
          <w:i/>
          <w:iCs/>
          <w:highlight w:val="yellow"/>
        </w:rPr>
        <w:t>state/region/organization-specific documentation sharing</w:t>
      </w:r>
      <w:r w:rsidR="00DE1A68">
        <w:rPr>
          <w:i/>
          <w:iCs/>
          <w:highlight w:val="yellow"/>
        </w:rPr>
        <w:t xml:space="preserve"> and/or </w:t>
      </w:r>
      <w:proofErr w:type="spellStart"/>
      <w:r w:rsidR="00DE1A68">
        <w:rPr>
          <w:i/>
          <w:iCs/>
          <w:highlight w:val="yellow"/>
        </w:rPr>
        <w:t>cosignature</w:t>
      </w:r>
      <w:proofErr w:type="spellEnd"/>
      <w:r w:rsidRPr="5C86DE8D">
        <w:rPr>
          <w:i/>
          <w:iCs/>
          <w:highlight w:val="yellow"/>
        </w:rPr>
        <w:t xml:space="preserve"> requirements- timeframe and method of sharing]</w:t>
      </w:r>
      <w:r>
        <w:t xml:space="preserve">. </w:t>
      </w:r>
    </w:p>
    <w:p w14:paraId="47FF9988" w14:textId="1EC80FF8" w:rsidR="009D40DE" w:rsidRPr="003D133E" w:rsidRDefault="001B22BE" w:rsidP="009D40DE">
      <w:pPr>
        <w:spacing w:after="0" w:line="240" w:lineRule="auto"/>
        <w:rPr>
          <w:rFonts w:eastAsia="Times New Roman" w:cstheme="minorHAnsi"/>
        </w:rPr>
      </w:pPr>
      <w:r>
        <w:rPr>
          <w:rFonts w:eastAsia="Times New Roman" w:cstheme="minorHAnsi"/>
        </w:rPr>
        <w:t>The following c</w:t>
      </w:r>
      <w:r w:rsidR="009D40DE" w:rsidRPr="003D133E">
        <w:rPr>
          <w:rFonts w:eastAsia="Times New Roman" w:cstheme="minorHAnsi"/>
        </w:rPr>
        <w:t>ircumstances shall cause the pharmacist to initiate direct communication with the referring physician:</w:t>
      </w:r>
    </w:p>
    <w:p w14:paraId="33B1E2AE" w14:textId="77777777" w:rsidR="009D40DE" w:rsidRPr="003D133E" w:rsidRDefault="009D40DE" w:rsidP="009D40DE">
      <w:pPr>
        <w:numPr>
          <w:ilvl w:val="0"/>
          <w:numId w:val="6"/>
        </w:numPr>
        <w:spacing w:after="0" w:line="240" w:lineRule="auto"/>
        <w:rPr>
          <w:rFonts w:eastAsia="Times New Roman" w:cstheme="minorHAnsi"/>
        </w:rPr>
      </w:pPr>
      <w:r w:rsidRPr="003D133E">
        <w:rPr>
          <w:rFonts w:eastAsia="Times New Roman" w:cstheme="minorHAnsi"/>
        </w:rPr>
        <w:t>Critical lab results</w:t>
      </w:r>
    </w:p>
    <w:p w14:paraId="4A51F2BE" w14:textId="77777777" w:rsidR="009D40DE" w:rsidRPr="003D133E" w:rsidRDefault="009D40DE" w:rsidP="009D40DE">
      <w:pPr>
        <w:numPr>
          <w:ilvl w:val="0"/>
          <w:numId w:val="6"/>
        </w:numPr>
        <w:spacing w:after="0" w:line="240" w:lineRule="auto"/>
        <w:rPr>
          <w:rFonts w:eastAsia="Times New Roman" w:cstheme="minorHAnsi"/>
        </w:rPr>
      </w:pPr>
      <w:r w:rsidRPr="003D133E">
        <w:rPr>
          <w:rFonts w:eastAsia="Times New Roman" w:cstheme="minorHAnsi"/>
        </w:rPr>
        <w:t xml:space="preserve">Significant abnormalities in vital sign findings </w:t>
      </w:r>
    </w:p>
    <w:p w14:paraId="44DA5271" w14:textId="0F3FEC43" w:rsidR="009D40DE" w:rsidRPr="003D133E" w:rsidRDefault="00B634AD" w:rsidP="009D40DE">
      <w:pPr>
        <w:numPr>
          <w:ilvl w:val="0"/>
          <w:numId w:val="6"/>
        </w:numPr>
        <w:spacing w:after="0" w:line="240" w:lineRule="auto"/>
        <w:rPr>
          <w:rFonts w:eastAsia="Times New Roman" w:cstheme="minorHAnsi"/>
        </w:rPr>
      </w:pPr>
      <w:r>
        <w:rPr>
          <w:rFonts w:eastAsia="Times New Roman" w:cstheme="minorHAnsi"/>
        </w:rPr>
        <w:t>L</w:t>
      </w:r>
      <w:r w:rsidR="009D40DE" w:rsidRPr="003D133E">
        <w:rPr>
          <w:rFonts w:eastAsia="Times New Roman" w:cstheme="minorHAnsi"/>
        </w:rPr>
        <w:t xml:space="preserve">earning of an anaphylactic or other </w:t>
      </w:r>
      <w:r w:rsidR="000F588E">
        <w:rPr>
          <w:rFonts w:eastAsia="Times New Roman" w:cstheme="minorHAnsi"/>
        </w:rPr>
        <w:t xml:space="preserve">serious </w:t>
      </w:r>
      <w:r w:rsidR="009D40DE" w:rsidRPr="003D133E">
        <w:rPr>
          <w:rFonts w:eastAsia="Times New Roman" w:cstheme="minorHAnsi"/>
        </w:rPr>
        <w:t>adverse medication reaction, adverse needle stick, or any other adverse event experienced by a patient</w:t>
      </w:r>
    </w:p>
    <w:p w14:paraId="069996B7" w14:textId="6E492C9D" w:rsidR="009D40DE" w:rsidRPr="003D133E" w:rsidRDefault="009D40DE" w:rsidP="009D40DE">
      <w:pPr>
        <w:numPr>
          <w:ilvl w:val="0"/>
          <w:numId w:val="6"/>
        </w:numPr>
        <w:spacing w:after="0" w:line="240" w:lineRule="auto"/>
        <w:rPr>
          <w:rFonts w:eastAsia="Times New Roman" w:cstheme="minorHAnsi"/>
        </w:rPr>
      </w:pPr>
      <w:r w:rsidRPr="003D133E">
        <w:rPr>
          <w:rFonts w:eastAsia="Times New Roman" w:cstheme="minorHAnsi"/>
        </w:rPr>
        <w:t>Patient present</w:t>
      </w:r>
      <w:r w:rsidR="00691325" w:rsidRPr="003D133E">
        <w:rPr>
          <w:rFonts w:eastAsia="Times New Roman" w:cstheme="minorHAnsi"/>
        </w:rPr>
        <w:t>ing</w:t>
      </w:r>
      <w:r w:rsidRPr="003D133E">
        <w:rPr>
          <w:rFonts w:eastAsia="Times New Roman" w:cstheme="minorHAnsi"/>
        </w:rPr>
        <w:t xml:space="preserve"> with new</w:t>
      </w:r>
      <w:r w:rsidR="00165B85">
        <w:rPr>
          <w:rFonts w:eastAsia="Times New Roman" w:cstheme="minorHAnsi"/>
        </w:rPr>
        <w:t>, previously</w:t>
      </w:r>
      <w:r w:rsidRPr="003D133E">
        <w:rPr>
          <w:rFonts w:eastAsia="Times New Roman" w:cstheme="minorHAnsi"/>
        </w:rPr>
        <w:t xml:space="preserve"> undiagnosed </w:t>
      </w:r>
      <w:r w:rsidR="00165B85">
        <w:rPr>
          <w:rFonts w:eastAsia="Times New Roman" w:cstheme="minorHAnsi"/>
        </w:rPr>
        <w:t>condition</w:t>
      </w:r>
      <w:r w:rsidRPr="003D133E">
        <w:rPr>
          <w:rFonts w:eastAsia="Times New Roman" w:cstheme="minorHAnsi"/>
        </w:rPr>
        <w:t>(s)</w:t>
      </w:r>
      <w:r w:rsidR="00AC0F1D">
        <w:rPr>
          <w:rFonts w:eastAsia="Times New Roman" w:cstheme="minorHAnsi"/>
        </w:rPr>
        <w:t xml:space="preserve"> or</w:t>
      </w:r>
      <w:r w:rsidRPr="003D133E">
        <w:rPr>
          <w:rFonts w:eastAsia="Times New Roman" w:cstheme="minorHAnsi"/>
        </w:rPr>
        <w:t xml:space="preserve"> acute symptom(s) </w:t>
      </w:r>
    </w:p>
    <w:p w14:paraId="69FE4E50" w14:textId="65DFF1B8" w:rsidR="009D40DE" w:rsidRPr="003D133E" w:rsidRDefault="009D40DE" w:rsidP="009D40DE">
      <w:pPr>
        <w:numPr>
          <w:ilvl w:val="0"/>
          <w:numId w:val="6"/>
        </w:numPr>
        <w:spacing w:after="0" w:line="240" w:lineRule="auto"/>
        <w:rPr>
          <w:rFonts w:eastAsia="Times New Roman" w:cstheme="minorHAnsi"/>
        </w:rPr>
      </w:pPr>
      <w:r w:rsidRPr="003D133E">
        <w:rPr>
          <w:rFonts w:eastAsia="Times New Roman" w:cstheme="minorHAnsi"/>
        </w:rPr>
        <w:t xml:space="preserve">Discharge from </w:t>
      </w:r>
      <w:r w:rsidR="002A34AA" w:rsidRPr="003D133E">
        <w:rPr>
          <w:rFonts w:eastAsia="Times New Roman" w:cstheme="minorHAnsi"/>
        </w:rPr>
        <w:t>clinical pharmacist care</w:t>
      </w:r>
    </w:p>
    <w:p w14:paraId="5C0F3465" w14:textId="708D3D0C" w:rsidR="009D40DE" w:rsidRPr="003D133E" w:rsidRDefault="00DE1457" w:rsidP="009D40DE">
      <w:pPr>
        <w:numPr>
          <w:ilvl w:val="0"/>
          <w:numId w:val="6"/>
        </w:numPr>
        <w:spacing w:after="0" w:line="240" w:lineRule="auto"/>
        <w:rPr>
          <w:rFonts w:eastAsia="Times New Roman" w:cstheme="minorHAnsi"/>
        </w:rPr>
      </w:pPr>
      <w:r>
        <w:rPr>
          <w:rFonts w:eastAsia="Times New Roman"/>
        </w:rPr>
        <w:t>Other circumstances</w:t>
      </w:r>
      <w:r w:rsidR="009E4A97">
        <w:rPr>
          <w:rFonts w:eastAsia="Times New Roman"/>
        </w:rPr>
        <w:t xml:space="preserve"> warranting direct communication</w:t>
      </w:r>
      <w:r w:rsidR="5C86DE8D" w:rsidRPr="5C86DE8D">
        <w:rPr>
          <w:rFonts w:eastAsia="Times New Roman"/>
        </w:rPr>
        <w:t xml:space="preserve"> in </w:t>
      </w:r>
      <w:r w:rsidR="009E4A97">
        <w:rPr>
          <w:rFonts w:eastAsia="Times New Roman"/>
        </w:rPr>
        <w:t xml:space="preserve">the </w:t>
      </w:r>
      <w:r w:rsidR="00EF08B9">
        <w:rPr>
          <w:rFonts w:eastAsia="Times New Roman"/>
        </w:rPr>
        <w:t>clinical pharmacist’s</w:t>
      </w:r>
      <w:r w:rsidR="009E4A97" w:rsidRPr="5C86DE8D">
        <w:rPr>
          <w:rFonts w:eastAsia="Times New Roman"/>
        </w:rPr>
        <w:t xml:space="preserve"> </w:t>
      </w:r>
      <w:r w:rsidR="5C86DE8D" w:rsidRPr="5C86DE8D">
        <w:rPr>
          <w:rFonts w:eastAsia="Times New Roman"/>
        </w:rPr>
        <w:t xml:space="preserve">professional judgment </w:t>
      </w:r>
    </w:p>
    <w:p w14:paraId="0AC64411" w14:textId="7A591887" w:rsidR="00BA2D7D" w:rsidRDefault="00BA2D7D" w:rsidP="5C86DE8D">
      <w:pPr>
        <w:pBdr>
          <w:bottom w:val="single" w:sz="4" w:space="1" w:color="auto"/>
        </w:pBdr>
        <w:spacing w:after="0" w:line="240" w:lineRule="auto"/>
        <w:rPr>
          <w:rFonts w:eastAsia="BergamoStd-Bold"/>
          <w:b/>
          <w:bCs/>
          <w:caps/>
        </w:rPr>
      </w:pPr>
    </w:p>
    <w:p w14:paraId="785774B6" w14:textId="77777777" w:rsidR="00C40661" w:rsidRDefault="00C40661" w:rsidP="5C86DE8D">
      <w:pPr>
        <w:pBdr>
          <w:bottom w:val="single" w:sz="4" w:space="1" w:color="auto"/>
        </w:pBdr>
        <w:spacing w:after="0" w:line="240" w:lineRule="auto"/>
        <w:rPr>
          <w:rFonts w:eastAsia="BergamoStd-Bold"/>
          <w:b/>
          <w:bCs/>
          <w:caps/>
        </w:rPr>
      </w:pPr>
    </w:p>
    <w:p w14:paraId="482E8783" w14:textId="77777777" w:rsidR="00C40661" w:rsidRPr="003D133E" w:rsidRDefault="00C40661" w:rsidP="5C86DE8D">
      <w:pPr>
        <w:pBdr>
          <w:bottom w:val="single" w:sz="4" w:space="1" w:color="auto"/>
        </w:pBdr>
        <w:spacing w:after="0" w:line="240" w:lineRule="auto"/>
        <w:rPr>
          <w:rFonts w:eastAsia="BergamoStd-Bold"/>
          <w:b/>
          <w:bCs/>
          <w:caps/>
        </w:rPr>
      </w:pPr>
    </w:p>
    <w:p w14:paraId="2A0785C6" w14:textId="77777777" w:rsidR="00BA2D7D" w:rsidRPr="003D133E" w:rsidRDefault="5C86DE8D" w:rsidP="5C86DE8D">
      <w:pPr>
        <w:pBdr>
          <w:bottom w:val="single" w:sz="4" w:space="1" w:color="auto"/>
        </w:pBdr>
        <w:spacing w:after="0" w:line="240" w:lineRule="auto"/>
        <w:rPr>
          <w:rFonts w:eastAsia="BergamoStd-Bold"/>
          <w:b/>
          <w:bCs/>
          <w:caps/>
        </w:rPr>
      </w:pPr>
      <w:r w:rsidRPr="5C86DE8D">
        <w:rPr>
          <w:rFonts w:eastAsia="BergamoStd-Bold"/>
          <w:b/>
          <w:bCs/>
          <w:caps/>
        </w:rPr>
        <w:t>Medical Emergencies</w:t>
      </w:r>
    </w:p>
    <w:p w14:paraId="2C4860B5" w14:textId="756BF4F6" w:rsidR="00BA2D7D" w:rsidRPr="003D133E" w:rsidRDefault="5C86DE8D" w:rsidP="5C86DE8D">
      <w:pPr>
        <w:spacing w:after="0" w:line="240" w:lineRule="auto"/>
        <w:jc w:val="both"/>
        <w:rPr>
          <w:rFonts w:eastAsia="Times New Roman"/>
        </w:rPr>
      </w:pPr>
      <w:r w:rsidRPr="5C86DE8D">
        <w:rPr>
          <w:rFonts w:eastAsia="Times New Roman"/>
        </w:rPr>
        <w:t xml:space="preserve">If an unusual or unexpected medical situation arises, the clinical pharmacist will consult a physician for medical guidance. If a physician is unavailable and the patient has a serious medical emergency, the pharmacist will follow the </w:t>
      </w:r>
      <w:r w:rsidR="008C3712">
        <w:rPr>
          <w:rFonts w:eastAsia="Times New Roman"/>
        </w:rPr>
        <w:t xml:space="preserve">relevant </w:t>
      </w:r>
      <w:r w:rsidRPr="5C86DE8D">
        <w:rPr>
          <w:rFonts w:eastAsia="Times New Roman"/>
        </w:rPr>
        <w:t xml:space="preserve">policies and procedures of </w:t>
      </w:r>
      <w:r w:rsidR="0076293E" w:rsidRPr="00BA3201">
        <w:rPr>
          <w:rFonts w:eastAsia="Times New Roman"/>
          <w:highlight w:val="yellow"/>
        </w:rPr>
        <w:t>[</w:t>
      </w:r>
      <w:r w:rsidR="0076293E" w:rsidRPr="00BA3201">
        <w:rPr>
          <w:rFonts w:eastAsia="Times New Roman"/>
          <w:i/>
          <w:iCs/>
          <w:highlight w:val="yellow"/>
        </w:rPr>
        <w:t>insert name of health system/clinic/organization]</w:t>
      </w:r>
      <w:r w:rsidR="0076293E">
        <w:rPr>
          <w:rFonts w:eastAsia="Times New Roman"/>
          <w:i/>
          <w:iCs/>
        </w:rPr>
        <w:t>.</w:t>
      </w:r>
      <w:r w:rsidRPr="5C86DE8D">
        <w:rPr>
          <w:rFonts w:eastAsia="Times New Roman"/>
        </w:rPr>
        <w:t xml:space="preserve"> </w:t>
      </w:r>
    </w:p>
    <w:p w14:paraId="4EE9BBBC" w14:textId="1781AE68" w:rsidR="00BA2D7D" w:rsidRPr="003D133E" w:rsidRDefault="00BA2D7D" w:rsidP="5C86DE8D">
      <w:pPr>
        <w:pBdr>
          <w:bottom w:val="single" w:sz="4" w:space="1" w:color="auto"/>
        </w:pBdr>
        <w:rPr>
          <w:b/>
          <w:bCs/>
          <w:caps/>
        </w:rPr>
      </w:pPr>
    </w:p>
    <w:p w14:paraId="291E5F31" w14:textId="5832DDD6" w:rsidR="00BA2D7D" w:rsidRPr="003D133E" w:rsidRDefault="5C86DE8D" w:rsidP="5C86DE8D">
      <w:pPr>
        <w:pBdr>
          <w:bottom w:val="single" w:sz="4" w:space="1" w:color="auto"/>
        </w:pBdr>
        <w:rPr>
          <w:b/>
          <w:bCs/>
          <w:caps/>
        </w:rPr>
      </w:pPr>
      <w:r w:rsidRPr="5C86DE8D">
        <w:rPr>
          <w:b/>
          <w:bCs/>
          <w:caps/>
        </w:rPr>
        <w:t>appointments and visits</w:t>
      </w:r>
    </w:p>
    <w:p w14:paraId="5D7AB47A" w14:textId="43ECF738" w:rsidR="00917CBB" w:rsidRPr="00DF40DE" w:rsidRDefault="5C86DE8D" w:rsidP="00AF3012">
      <w:pPr>
        <w:rPr>
          <w:rFonts w:cstheme="minorHAnsi"/>
        </w:rPr>
      </w:pPr>
      <w:r w:rsidRPr="5C86DE8D">
        <w:t>Patient encounters may be conducted in person or remotely</w:t>
      </w:r>
      <w:r w:rsidR="000E703B">
        <w:t xml:space="preserve"> in adherence with organizational policies.  </w:t>
      </w:r>
      <w:r w:rsidR="00D86F4F" w:rsidRPr="00BE4EDC">
        <w:rPr>
          <w:i/>
          <w:iCs/>
          <w:highlight w:val="yellow"/>
        </w:rPr>
        <w:t>[Insert language regarding any state or institution-specific</w:t>
      </w:r>
      <w:r w:rsidR="00BE4EDC" w:rsidRPr="00BE4EDC">
        <w:rPr>
          <w:i/>
          <w:iCs/>
          <w:highlight w:val="yellow"/>
        </w:rPr>
        <w:t xml:space="preserve"> practitioner location requirements such as co-location or within a specific mile radius].</w:t>
      </w:r>
      <w:r w:rsidR="00BE4EDC">
        <w:t xml:space="preserve"> </w:t>
      </w:r>
      <w:r w:rsidR="00D86F4F">
        <w:t xml:space="preserve"> </w:t>
      </w:r>
      <w:r w:rsidR="00016197">
        <w:t xml:space="preserve">Encounters will </w:t>
      </w:r>
      <w:r w:rsidR="00D86F4F">
        <w:t xml:space="preserve">take place </w:t>
      </w:r>
      <w:r w:rsidRPr="5C86DE8D">
        <w:t>at an interval and frequency deemed appropriate by the clinical pharmacist based upon patient-specific factors.</w:t>
      </w:r>
      <w:r w:rsidR="00A6096B">
        <w:t xml:space="preserve"> </w:t>
      </w:r>
      <w:r w:rsidRPr="5C86DE8D">
        <w:t xml:space="preserve">  To receive ongoing care through this CPA, patients will be required to maintain an ongoing professional relationship with collaborating physicians including an encounter within </w:t>
      </w:r>
      <w:r w:rsidRPr="5C86DE8D">
        <w:rPr>
          <w:i/>
          <w:iCs/>
          <w:highlight w:val="yellow"/>
        </w:rPr>
        <w:t>[insert # of months/required frequency of visit to referring physician may vary based upon state/region/health system].</w:t>
      </w:r>
      <w:r w:rsidRPr="5C86DE8D">
        <w:t xml:space="preserve"> </w:t>
      </w:r>
    </w:p>
    <w:p w14:paraId="03E2AA1A" w14:textId="3986688D" w:rsidR="00BA2D7D" w:rsidRPr="003D133E" w:rsidRDefault="00BA2D7D" w:rsidP="00B57033">
      <w:pPr>
        <w:pBdr>
          <w:bottom w:val="single" w:sz="4" w:space="1" w:color="auto"/>
        </w:pBdr>
        <w:rPr>
          <w:rFonts w:cstheme="minorHAnsi"/>
          <w:b/>
          <w:bCs/>
          <w:caps/>
        </w:rPr>
      </w:pPr>
      <w:r w:rsidRPr="003D133E">
        <w:rPr>
          <w:rFonts w:cstheme="minorHAnsi"/>
          <w:b/>
          <w:bCs/>
          <w:caps/>
        </w:rPr>
        <w:t>Agreement review and duration</w:t>
      </w:r>
    </w:p>
    <w:p w14:paraId="41FCFC2E" w14:textId="61E710AB" w:rsidR="00843238" w:rsidRDefault="00843238" w:rsidP="00B03A4F">
      <w:pPr>
        <w:spacing w:after="0" w:line="240" w:lineRule="auto"/>
        <w:jc w:val="both"/>
        <w:rPr>
          <w:rFonts w:eastAsia="Times New Roman"/>
        </w:rPr>
      </w:pPr>
      <w:r w:rsidRPr="00843238">
        <w:rPr>
          <w:rFonts w:eastAsia="Times New Roman"/>
        </w:rPr>
        <w:t xml:space="preserve">The initial term of this agreement shall be </w:t>
      </w:r>
      <w:r w:rsidR="001C5936" w:rsidRPr="007813B9">
        <w:rPr>
          <w:rFonts w:eastAsia="Times New Roman"/>
          <w:i/>
          <w:iCs/>
          <w:highlight w:val="yellow"/>
        </w:rPr>
        <w:t>[</w:t>
      </w:r>
      <w:r w:rsidRPr="007813B9">
        <w:rPr>
          <w:rFonts w:eastAsia="Times New Roman"/>
          <w:i/>
          <w:iCs/>
          <w:highlight w:val="yellow"/>
        </w:rPr>
        <w:t>one (1) year from the date of signature</w:t>
      </w:r>
      <w:r w:rsidR="001C5936" w:rsidRPr="007813B9">
        <w:rPr>
          <w:rFonts w:eastAsia="Times New Roman"/>
          <w:i/>
          <w:iCs/>
          <w:highlight w:val="yellow"/>
        </w:rPr>
        <w:t>; or alternative timeframe as deemed appropriate per institutional/state requirements</w:t>
      </w:r>
      <w:r w:rsidR="007813B9" w:rsidRPr="007813B9">
        <w:rPr>
          <w:rFonts w:eastAsia="Times New Roman"/>
          <w:i/>
          <w:iCs/>
          <w:highlight w:val="yellow"/>
        </w:rPr>
        <w:t>]</w:t>
      </w:r>
      <w:r w:rsidRPr="00843238">
        <w:rPr>
          <w:rFonts w:eastAsia="Times New Roman"/>
        </w:rPr>
        <w:t xml:space="preserve">. This </w:t>
      </w:r>
      <w:r w:rsidR="00765C23">
        <w:rPr>
          <w:rFonts w:eastAsia="Times New Roman"/>
        </w:rPr>
        <w:t>agreement</w:t>
      </w:r>
      <w:r w:rsidRPr="00843238">
        <w:rPr>
          <w:rFonts w:eastAsia="Times New Roman"/>
        </w:rPr>
        <w:t xml:space="preserve"> will be reviewed annually and either amended when necessary to reflect changes in the clinical pharmacist’s duties and responsibilities and/or medical center policy, renewed without alterations, or terminated, unless terminated by either party before completion.</w:t>
      </w:r>
    </w:p>
    <w:p w14:paraId="77B18617" w14:textId="77777777" w:rsidR="00843238" w:rsidRDefault="00843238" w:rsidP="00B03A4F">
      <w:pPr>
        <w:spacing w:after="0" w:line="240" w:lineRule="auto"/>
        <w:jc w:val="both"/>
        <w:rPr>
          <w:rFonts w:eastAsia="Times New Roman"/>
        </w:rPr>
      </w:pPr>
    </w:p>
    <w:p w14:paraId="62D5C1EA" w14:textId="21634096" w:rsidR="00B03A4F" w:rsidRPr="003D133E" w:rsidRDefault="5C86DE8D" w:rsidP="00B03A4F">
      <w:pPr>
        <w:spacing w:after="0" w:line="240" w:lineRule="auto"/>
        <w:jc w:val="both"/>
        <w:rPr>
          <w:rFonts w:eastAsia="Times New Roman"/>
        </w:rPr>
      </w:pPr>
      <w:r w:rsidRPr="5C86DE8D">
        <w:rPr>
          <w:rFonts w:eastAsia="Times New Roman"/>
        </w:rPr>
        <w:t xml:space="preserve">Treatment protocols described in Appendices A, B, and C will be </w:t>
      </w:r>
      <w:r w:rsidRPr="5C86DE8D">
        <w:rPr>
          <w:rFonts w:eastAsia="Times New Roman"/>
          <w:i/>
          <w:iCs/>
        </w:rPr>
        <w:t xml:space="preserve">reviewed </w:t>
      </w:r>
      <w:r w:rsidRPr="5C86DE8D">
        <w:rPr>
          <w:rFonts w:eastAsia="Times New Roman"/>
          <w:i/>
          <w:iCs/>
          <w:highlight w:val="yellow"/>
        </w:rPr>
        <w:t>[insert frequency based upon state/regional/organization requirements]</w:t>
      </w:r>
      <w:r w:rsidRPr="5C86DE8D">
        <w:rPr>
          <w:rFonts w:eastAsia="Times New Roman"/>
        </w:rPr>
        <w:t xml:space="preserve"> by participating </w:t>
      </w:r>
      <w:r w:rsidR="0076293E">
        <w:rPr>
          <w:rFonts w:eastAsia="Times New Roman"/>
        </w:rPr>
        <w:t xml:space="preserve">clinical </w:t>
      </w:r>
      <w:r w:rsidRPr="5C86DE8D">
        <w:rPr>
          <w:rFonts w:eastAsia="Times New Roman"/>
        </w:rPr>
        <w:t>pharmacist(s) and physician(s) and revised as needed.   Revisions may be needed in advance of the scheduled review if there are changes in the standard of care/guidelines and/or if new practitioners are added</w:t>
      </w:r>
      <w:r w:rsidR="0076293E">
        <w:rPr>
          <w:rFonts w:eastAsia="Times New Roman"/>
        </w:rPr>
        <w:t xml:space="preserve"> to the practice</w:t>
      </w:r>
      <w:r w:rsidRPr="5C86DE8D">
        <w:rPr>
          <w:rFonts w:eastAsia="Times New Roman"/>
        </w:rPr>
        <w:t>.  All modifications or amendments to this agreement must be documented in writing.  Such modifications/amendments will be signed and dated by all parties involved in this agreement prior to implementation.</w:t>
      </w:r>
    </w:p>
    <w:p w14:paraId="14C80379" w14:textId="77777777" w:rsidR="00BA2D7D" w:rsidRPr="003D133E" w:rsidRDefault="00BA2D7D" w:rsidP="00B57033">
      <w:pPr>
        <w:pBdr>
          <w:bottom w:val="single" w:sz="4" w:space="1" w:color="auto"/>
        </w:pBdr>
        <w:rPr>
          <w:rFonts w:cstheme="minorHAnsi"/>
          <w:b/>
          <w:bCs/>
          <w:caps/>
        </w:rPr>
      </w:pPr>
    </w:p>
    <w:p w14:paraId="411F07C6" w14:textId="531A89A7" w:rsidR="00BA2D7D" w:rsidRPr="003D133E" w:rsidRDefault="00BA2D7D" w:rsidP="00B57033">
      <w:pPr>
        <w:pBdr>
          <w:bottom w:val="single" w:sz="4" w:space="1" w:color="auto"/>
        </w:pBdr>
        <w:rPr>
          <w:rFonts w:cstheme="minorHAnsi"/>
          <w:b/>
          <w:bCs/>
          <w:caps/>
        </w:rPr>
      </w:pPr>
      <w:r w:rsidRPr="003D133E">
        <w:rPr>
          <w:rFonts w:cstheme="minorHAnsi"/>
          <w:b/>
          <w:bCs/>
          <w:caps/>
        </w:rPr>
        <w:lastRenderedPageBreak/>
        <w:t xml:space="preserve">Withdrawal or alteration of agreement </w:t>
      </w:r>
    </w:p>
    <w:p w14:paraId="61006770" w14:textId="019EEA40" w:rsidR="00420690" w:rsidRPr="003D133E" w:rsidRDefault="00420690" w:rsidP="00420690">
      <w:pPr>
        <w:spacing w:after="0" w:line="240" w:lineRule="auto"/>
        <w:jc w:val="both"/>
        <w:rPr>
          <w:rFonts w:eastAsia="Times New Roman" w:cstheme="minorHAnsi"/>
          <w:b/>
        </w:rPr>
      </w:pPr>
      <w:r w:rsidRPr="003D133E">
        <w:rPr>
          <w:rFonts w:eastAsia="Times New Roman" w:cstheme="minorHAnsi"/>
          <w:b/>
        </w:rPr>
        <w:t>Termination</w:t>
      </w:r>
    </w:p>
    <w:p w14:paraId="678D1DC9" w14:textId="7EC89434" w:rsidR="00420690" w:rsidRPr="003D133E" w:rsidRDefault="00420690" w:rsidP="00420690">
      <w:pPr>
        <w:spacing w:after="0" w:line="240" w:lineRule="auto"/>
        <w:jc w:val="both"/>
        <w:rPr>
          <w:rFonts w:eastAsia="Times New Roman" w:cstheme="minorHAnsi"/>
        </w:rPr>
      </w:pPr>
      <w:r w:rsidRPr="003D133E">
        <w:rPr>
          <w:rFonts w:eastAsia="Times New Roman" w:cstheme="minorHAnsi"/>
        </w:rPr>
        <w:t>Th</w:t>
      </w:r>
      <w:r w:rsidR="008372D2" w:rsidRPr="003D133E">
        <w:rPr>
          <w:rFonts w:eastAsia="Times New Roman" w:cstheme="minorHAnsi"/>
        </w:rPr>
        <w:t>is agreement</w:t>
      </w:r>
      <w:r w:rsidRPr="003D133E">
        <w:rPr>
          <w:rFonts w:eastAsia="Times New Roman" w:cstheme="minorHAnsi"/>
        </w:rPr>
        <w:t xml:space="preserve"> may be rescinded by either the authorizing physician or the clinical pharmacist with or without cause provided that the rescission is documented in writing. </w:t>
      </w:r>
      <w:r w:rsidR="00150A58" w:rsidRPr="003D133E">
        <w:rPr>
          <w:rFonts w:eastAsia="Times New Roman" w:cstheme="minorHAnsi"/>
        </w:rPr>
        <w:t xml:space="preserve"> </w:t>
      </w:r>
    </w:p>
    <w:p w14:paraId="2BBC89A7" w14:textId="77777777" w:rsidR="00420690" w:rsidRPr="003D133E" w:rsidRDefault="00420690" w:rsidP="00420690">
      <w:pPr>
        <w:spacing w:after="0" w:line="240" w:lineRule="auto"/>
        <w:jc w:val="both"/>
        <w:rPr>
          <w:rFonts w:eastAsia="Times New Roman" w:cstheme="minorHAnsi"/>
        </w:rPr>
      </w:pPr>
    </w:p>
    <w:p w14:paraId="7AFAFCF2" w14:textId="18C89780" w:rsidR="00DD2794" w:rsidRDefault="5C86DE8D">
      <w:pPr>
        <w:rPr>
          <w:rFonts w:cstheme="minorHAnsi"/>
          <w:b/>
          <w:bCs/>
          <w:caps/>
        </w:rPr>
      </w:pPr>
      <w:r w:rsidRPr="5C86DE8D">
        <w:rPr>
          <w:rFonts w:eastAsia="Times New Roman"/>
        </w:rPr>
        <w:t>This agreement shall automatically and immediately terminate if the pharmacist ceases to maintain an active pharmacist license, the authorizing physician is deceased, if the authorizing physician fails to maintain an active, unrestricted medical license</w:t>
      </w:r>
      <w:r w:rsidR="0040329F">
        <w:rPr>
          <w:rFonts w:eastAsia="Times New Roman"/>
        </w:rPr>
        <w:t xml:space="preserve"> or if either </w:t>
      </w:r>
      <w:r w:rsidR="00115301">
        <w:rPr>
          <w:rFonts w:eastAsia="Times New Roman"/>
        </w:rPr>
        <w:t>practitioner changes employer</w:t>
      </w:r>
      <w:r w:rsidRPr="5C86DE8D">
        <w:rPr>
          <w:rFonts w:eastAsia="Times New Roman"/>
        </w:rPr>
        <w:t xml:space="preserve">. This agreement shall be retained by the physician and the pharmacist for </w:t>
      </w:r>
      <w:r w:rsidRPr="5C86DE8D">
        <w:rPr>
          <w:rFonts w:eastAsia="Times New Roman"/>
          <w:i/>
          <w:iCs/>
          <w:highlight w:val="yellow"/>
        </w:rPr>
        <w:t>[insert retention timeframe based upon state/regional/organization rules]</w:t>
      </w:r>
      <w:r w:rsidRPr="5C86DE8D">
        <w:rPr>
          <w:rFonts w:eastAsia="Times New Roman"/>
        </w:rPr>
        <w:t xml:space="preserve"> following termination.</w:t>
      </w:r>
      <w:r w:rsidR="00DD2794">
        <w:rPr>
          <w:rFonts w:cstheme="minorHAnsi"/>
          <w:b/>
          <w:bCs/>
          <w:caps/>
        </w:rPr>
        <w:br w:type="page"/>
      </w:r>
    </w:p>
    <w:p w14:paraId="678838A1" w14:textId="6BDE56E3" w:rsidR="00BA2D7D" w:rsidRPr="003D133E" w:rsidRDefault="00487818" w:rsidP="00B57033">
      <w:pPr>
        <w:pBdr>
          <w:bottom w:val="single" w:sz="4" w:space="1" w:color="auto"/>
        </w:pBdr>
        <w:rPr>
          <w:rFonts w:cstheme="minorHAnsi"/>
          <w:b/>
          <w:bCs/>
          <w:caps/>
        </w:rPr>
      </w:pPr>
      <w:r>
        <w:rPr>
          <w:rFonts w:cstheme="minorHAnsi"/>
          <w:b/>
          <w:bCs/>
          <w:caps/>
        </w:rPr>
        <w:lastRenderedPageBreak/>
        <w:t>PARTICIPATING PRACTITIONERS</w:t>
      </w:r>
    </w:p>
    <w:p w14:paraId="43AF1FF8" w14:textId="5B709828" w:rsidR="00487818" w:rsidRPr="00567AD2" w:rsidRDefault="00487818" w:rsidP="006411C4">
      <w:pPr>
        <w:rPr>
          <w:rFonts w:cstheme="minorHAnsi"/>
          <w:b/>
          <w:bCs/>
          <w:caps/>
        </w:rPr>
      </w:pPr>
      <w:r w:rsidRPr="00567AD2">
        <w:rPr>
          <w:rFonts w:cstheme="minorHAnsi"/>
          <w:b/>
          <w:bCs/>
          <w:caps/>
        </w:rPr>
        <w:t>Physicians</w:t>
      </w:r>
      <w:r w:rsidR="006411C4" w:rsidRPr="00567AD2">
        <w:rPr>
          <w:rFonts w:cstheme="minorHAnsi"/>
          <w:b/>
          <w:bCs/>
          <w:caps/>
        </w:rPr>
        <w:t>:</w:t>
      </w:r>
    </w:p>
    <w:p w14:paraId="306A43C9" w14:textId="02DE4DF0" w:rsidR="00487818" w:rsidRPr="003D133E" w:rsidRDefault="00F82C26" w:rsidP="00487818">
      <w:pPr>
        <w:rPr>
          <w:rFonts w:cstheme="minorHAnsi"/>
        </w:rPr>
      </w:pPr>
      <w:r>
        <w:rPr>
          <w:rFonts w:cstheme="minorHAnsi"/>
        </w:rPr>
        <w:t>T</w:t>
      </w:r>
      <w:r w:rsidR="00487818" w:rsidRPr="003D133E">
        <w:rPr>
          <w:rFonts w:cstheme="minorHAnsi"/>
        </w:rPr>
        <w:t xml:space="preserve">he </w:t>
      </w:r>
      <w:r w:rsidR="00DA421C">
        <w:rPr>
          <w:rFonts w:cstheme="minorHAnsi"/>
        </w:rPr>
        <w:t>following</w:t>
      </w:r>
      <w:r w:rsidR="00487818" w:rsidRPr="003D133E">
        <w:rPr>
          <w:rFonts w:cstheme="minorHAnsi"/>
        </w:rPr>
        <w:t xml:space="preserve"> physicians </w:t>
      </w:r>
      <w:r w:rsidR="00DA421C">
        <w:rPr>
          <w:rFonts w:cstheme="minorHAnsi"/>
        </w:rPr>
        <w:t xml:space="preserve">have </w:t>
      </w:r>
      <w:r w:rsidR="00487818" w:rsidRPr="003D133E">
        <w:rPr>
          <w:rFonts w:cstheme="minorHAnsi"/>
        </w:rPr>
        <w:t>delegate</w:t>
      </w:r>
      <w:r w:rsidR="00DA421C">
        <w:rPr>
          <w:rFonts w:cstheme="minorHAnsi"/>
        </w:rPr>
        <w:t>d</w:t>
      </w:r>
      <w:r w:rsidR="00487818" w:rsidRPr="003D133E">
        <w:rPr>
          <w:rFonts w:cstheme="minorHAnsi"/>
        </w:rPr>
        <w:t xml:space="preserve"> authority to clinical pharmacists via this CPA:</w:t>
      </w:r>
    </w:p>
    <w:p w14:paraId="3700BA4E" w14:textId="77777777" w:rsidR="006411C4" w:rsidRDefault="006411C4" w:rsidP="00487818">
      <w:pPr>
        <w:pStyle w:val="NormalWeb"/>
        <w:spacing w:before="0" w:beforeAutospacing="0" w:after="0" w:afterAutospacing="0"/>
        <w:rPr>
          <w:color w:val="000000"/>
        </w:rPr>
      </w:pPr>
    </w:p>
    <w:p w14:paraId="31F80A91" w14:textId="77777777" w:rsidR="006411C4" w:rsidRPr="0059623D" w:rsidRDefault="006411C4" w:rsidP="006411C4">
      <w:pPr>
        <w:pStyle w:val="NormalWeb"/>
        <w:spacing w:before="0" w:beforeAutospacing="0" w:after="0" w:afterAutospacing="0"/>
        <w:rPr>
          <w:rFonts w:asciiTheme="minorHAnsi" w:hAnsiTheme="minorHAnsi" w:cstheme="minorHAnsi"/>
          <w:sz w:val="22"/>
          <w:szCs w:val="22"/>
        </w:rPr>
      </w:pPr>
      <w:proofErr w:type="gramStart"/>
      <w:r w:rsidRPr="0059623D">
        <w:rPr>
          <w:rFonts w:asciiTheme="minorHAnsi" w:hAnsiTheme="minorHAnsi" w:cstheme="minorHAnsi"/>
          <w:color w:val="000000"/>
          <w:sz w:val="22"/>
          <w:szCs w:val="22"/>
        </w:rPr>
        <w:t xml:space="preserve">_______________________________ </w:t>
      </w:r>
      <w:r w:rsidRPr="0059623D">
        <w:rPr>
          <w:rStyle w:val="apple-tab-span"/>
          <w:rFonts w:asciiTheme="minorHAnsi" w:hAnsiTheme="minorHAnsi" w:cstheme="minorHAnsi"/>
          <w:color w:val="000000"/>
          <w:sz w:val="22"/>
          <w:szCs w:val="22"/>
        </w:rPr>
        <w:tab/>
      </w:r>
      <w:proofErr w:type="gramEnd"/>
      <w:r w:rsidRPr="0059623D">
        <w:rPr>
          <w:rFonts w:asciiTheme="minorHAnsi" w:hAnsiTheme="minorHAnsi" w:cstheme="minorHAnsi"/>
          <w:color w:val="000000"/>
          <w:sz w:val="22"/>
          <w:szCs w:val="22"/>
        </w:rPr>
        <w:t>_________</w:t>
      </w:r>
    </w:p>
    <w:p w14:paraId="13BA3A6A" w14:textId="1ED838F1" w:rsidR="006411C4" w:rsidRPr="0059623D" w:rsidRDefault="006411C4" w:rsidP="006411C4">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Signature</w:t>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Fonts w:asciiTheme="minorHAnsi" w:hAnsiTheme="minorHAnsi" w:cstheme="minorHAnsi"/>
          <w:color w:val="000000"/>
          <w:sz w:val="22"/>
          <w:szCs w:val="22"/>
        </w:rPr>
        <w:t>Date</w:t>
      </w:r>
    </w:p>
    <w:p w14:paraId="4F68521E" w14:textId="77777777" w:rsidR="00487818" w:rsidRPr="0059623D" w:rsidRDefault="00487818" w:rsidP="00487818">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 xml:space="preserve">Name:  </w:t>
      </w:r>
    </w:p>
    <w:p w14:paraId="70232DD3" w14:textId="77777777" w:rsidR="00487818" w:rsidRPr="0059623D" w:rsidRDefault="00487818" w:rsidP="00487818">
      <w:pPr>
        <w:pStyle w:val="NormalWeb"/>
        <w:spacing w:before="0" w:beforeAutospacing="0" w:after="0" w:afterAutospacing="0"/>
        <w:rPr>
          <w:rFonts w:asciiTheme="minorHAnsi" w:hAnsiTheme="minorHAnsi" w:cstheme="minorHAnsi"/>
          <w:color w:val="000000"/>
          <w:sz w:val="22"/>
          <w:szCs w:val="22"/>
        </w:rPr>
      </w:pPr>
      <w:r w:rsidRPr="0059623D">
        <w:rPr>
          <w:rFonts w:asciiTheme="minorHAnsi" w:hAnsiTheme="minorHAnsi" w:cstheme="minorHAnsi"/>
          <w:color w:val="000000"/>
          <w:sz w:val="22"/>
          <w:szCs w:val="22"/>
        </w:rPr>
        <w:t xml:space="preserve">State </w:t>
      </w:r>
      <w:proofErr w:type="gramStart"/>
      <w:r w:rsidRPr="0059623D">
        <w:rPr>
          <w:rFonts w:asciiTheme="minorHAnsi" w:hAnsiTheme="minorHAnsi" w:cstheme="minorHAnsi"/>
          <w:color w:val="000000"/>
          <w:sz w:val="22"/>
          <w:szCs w:val="22"/>
        </w:rPr>
        <w:t>License #:</w:t>
      </w:r>
      <w:proofErr w:type="gramEnd"/>
      <w:r w:rsidRPr="0059623D">
        <w:rPr>
          <w:rFonts w:asciiTheme="minorHAnsi" w:hAnsiTheme="minorHAnsi" w:cstheme="minorHAnsi"/>
          <w:color w:val="000000"/>
          <w:sz w:val="22"/>
          <w:szCs w:val="22"/>
        </w:rPr>
        <w:t> </w:t>
      </w:r>
    </w:p>
    <w:p w14:paraId="10A1EB32" w14:textId="77777777" w:rsidR="00487818" w:rsidRPr="0059623D" w:rsidRDefault="00487818" w:rsidP="00487818">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 xml:space="preserve">NPI: </w:t>
      </w:r>
    </w:p>
    <w:p w14:paraId="484B1788" w14:textId="77777777" w:rsidR="00487818" w:rsidRPr="0059623D" w:rsidRDefault="00487818" w:rsidP="00C229CB">
      <w:pPr>
        <w:pStyle w:val="NormalWeb"/>
        <w:spacing w:before="0" w:beforeAutospacing="0" w:after="0" w:afterAutospacing="0"/>
        <w:rPr>
          <w:rFonts w:asciiTheme="minorHAnsi" w:hAnsiTheme="minorHAnsi" w:cstheme="minorHAnsi"/>
          <w:color w:val="000000"/>
          <w:sz w:val="22"/>
          <w:szCs w:val="22"/>
        </w:rPr>
      </w:pPr>
    </w:p>
    <w:p w14:paraId="4D491100" w14:textId="77777777" w:rsidR="006411C4" w:rsidRPr="0059623D" w:rsidRDefault="006411C4" w:rsidP="006411C4">
      <w:pPr>
        <w:pStyle w:val="NormalWeb"/>
        <w:spacing w:before="0" w:beforeAutospacing="0" w:after="0" w:afterAutospacing="0"/>
        <w:rPr>
          <w:rFonts w:asciiTheme="minorHAnsi" w:hAnsiTheme="minorHAnsi" w:cstheme="minorHAnsi"/>
          <w:sz w:val="22"/>
          <w:szCs w:val="22"/>
        </w:rPr>
      </w:pPr>
      <w:proofErr w:type="gramStart"/>
      <w:r w:rsidRPr="0059623D">
        <w:rPr>
          <w:rFonts w:asciiTheme="minorHAnsi" w:hAnsiTheme="minorHAnsi" w:cstheme="minorHAnsi"/>
          <w:color w:val="000000"/>
          <w:sz w:val="22"/>
          <w:szCs w:val="22"/>
        </w:rPr>
        <w:t xml:space="preserve">_______________________________ </w:t>
      </w:r>
      <w:r w:rsidRPr="0059623D">
        <w:rPr>
          <w:rStyle w:val="apple-tab-span"/>
          <w:rFonts w:asciiTheme="minorHAnsi" w:hAnsiTheme="minorHAnsi" w:cstheme="minorHAnsi"/>
          <w:color w:val="000000"/>
          <w:sz w:val="22"/>
          <w:szCs w:val="22"/>
        </w:rPr>
        <w:tab/>
      </w:r>
      <w:proofErr w:type="gramEnd"/>
      <w:r w:rsidRPr="0059623D">
        <w:rPr>
          <w:rFonts w:asciiTheme="minorHAnsi" w:hAnsiTheme="minorHAnsi" w:cstheme="minorHAnsi"/>
          <w:color w:val="000000"/>
          <w:sz w:val="22"/>
          <w:szCs w:val="22"/>
        </w:rPr>
        <w:t>_________</w:t>
      </w:r>
    </w:p>
    <w:p w14:paraId="071E0C9D" w14:textId="680D4772" w:rsidR="006411C4" w:rsidRPr="0059623D" w:rsidRDefault="006411C4" w:rsidP="006411C4">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Signature</w:t>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Fonts w:asciiTheme="minorHAnsi" w:hAnsiTheme="minorHAnsi" w:cstheme="minorHAnsi"/>
          <w:color w:val="000000"/>
          <w:sz w:val="22"/>
          <w:szCs w:val="22"/>
        </w:rPr>
        <w:t>Date</w:t>
      </w:r>
    </w:p>
    <w:p w14:paraId="26D68DD2" w14:textId="77777777" w:rsidR="006411C4" w:rsidRPr="0059623D" w:rsidRDefault="006411C4" w:rsidP="006411C4">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 xml:space="preserve">Name:  </w:t>
      </w:r>
    </w:p>
    <w:p w14:paraId="100B8044" w14:textId="77777777" w:rsidR="006411C4" w:rsidRPr="0059623D" w:rsidRDefault="006411C4" w:rsidP="006411C4">
      <w:pPr>
        <w:pStyle w:val="NormalWeb"/>
        <w:spacing w:before="0" w:beforeAutospacing="0" w:after="0" w:afterAutospacing="0"/>
        <w:rPr>
          <w:rFonts w:asciiTheme="minorHAnsi" w:hAnsiTheme="minorHAnsi" w:cstheme="minorHAnsi"/>
          <w:color w:val="000000"/>
          <w:sz w:val="22"/>
          <w:szCs w:val="22"/>
        </w:rPr>
      </w:pPr>
      <w:r w:rsidRPr="0059623D">
        <w:rPr>
          <w:rFonts w:asciiTheme="minorHAnsi" w:hAnsiTheme="minorHAnsi" w:cstheme="minorHAnsi"/>
          <w:color w:val="000000"/>
          <w:sz w:val="22"/>
          <w:szCs w:val="22"/>
        </w:rPr>
        <w:t xml:space="preserve">State </w:t>
      </w:r>
      <w:proofErr w:type="gramStart"/>
      <w:r w:rsidRPr="0059623D">
        <w:rPr>
          <w:rFonts w:asciiTheme="minorHAnsi" w:hAnsiTheme="minorHAnsi" w:cstheme="minorHAnsi"/>
          <w:color w:val="000000"/>
          <w:sz w:val="22"/>
          <w:szCs w:val="22"/>
        </w:rPr>
        <w:t>License #:</w:t>
      </w:r>
      <w:proofErr w:type="gramEnd"/>
      <w:r w:rsidRPr="0059623D">
        <w:rPr>
          <w:rFonts w:asciiTheme="minorHAnsi" w:hAnsiTheme="minorHAnsi" w:cstheme="minorHAnsi"/>
          <w:color w:val="000000"/>
          <w:sz w:val="22"/>
          <w:szCs w:val="22"/>
        </w:rPr>
        <w:t> </w:t>
      </w:r>
    </w:p>
    <w:p w14:paraId="2444756A" w14:textId="77777777" w:rsidR="006411C4" w:rsidRPr="0059623D" w:rsidRDefault="006411C4" w:rsidP="006411C4">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 xml:space="preserve">NPI: </w:t>
      </w:r>
    </w:p>
    <w:p w14:paraId="0DF34CC6" w14:textId="77777777" w:rsidR="006411C4" w:rsidRPr="0059623D" w:rsidRDefault="006411C4" w:rsidP="00C229CB">
      <w:pPr>
        <w:rPr>
          <w:rFonts w:cstheme="minorHAnsi"/>
        </w:rPr>
      </w:pPr>
    </w:p>
    <w:p w14:paraId="3A7A6DB6" w14:textId="77777777" w:rsidR="006411C4" w:rsidRPr="0059623D" w:rsidRDefault="006411C4" w:rsidP="00C229CB">
      <w:pPr>
        <w:rPr>
          <w:rFonts w:cstheme="minorHAnsi"/>
        </w:rPr>
      </w:pPr>
    </w:p>
    <w:p w14:paraId="37F7899E" w14:textId="5FFE37F1" w:rsidR="00F82C26" w:rsidRPr="0059623D" w:rsidRDefault="00F82C26" w:rsidP="00F82C26">
      <w:pPr>
        <w:rPr>
          <w:rFonts w:cstheme="minorHAnsi"/>
          <w:b/>
          <w:bCs/>
          <w:caps/>
        </w:rPr>
      </w:pPr>
      <w:r w:rsidRPr="0059623D">
        <w:rPr>
          <w:rFonts w:cstheme="minorHAnsi"/>
          <w:b/>
          <w:bCs/>
          <w:caps/>
        </w:rPr>
        <w:t>Pharmacists:</w:t>
      </w:r>
    </w:p>
    <w:p w14:paraId="2E675262" w14:textId="7DC84098" w:rsidR="00F82C26" w:rsidRPr="0059623D" w:rsidRDefault="00F82C26" w:rsidP="00F82C26">
      <w:pPr>
        <w:rPr>
          <w:rFonts w:cstheme="minorHAnsi"/>
        </w:rPr>
      </w:pPr>
      <w:r w:rsidRPr="0059623D">
        <w:rPr>
          <w:rFonts w:cstheme="minorHAnsi"/>
        </w:rPr>
        <w:t xml:space="preserve">The individual pharmacists authorized to </w:t>
      </w:r>
      <w:r w:rsidR="001B3CCE" w:rsidRPr="0059623D">
        <w:rPr>
          <w:rFonts w:cstheme="minorHAnsi"/>
        </w:rPr>
        <w:t>participate in CDTM delegated by</w:t>
      </w:r>
      <w:r w:rsidRPr="0059623D">
        <w:rPr>
          <w:rFonts w:cstheme="minorHAnsi"/>
        </w:rPr>
        <w:t xml:space="preserve"> this CPA:</w:t>
      </w:r>
    </w:p>
    <w:p w14:paraId="4CD0473A" w14:textId="77777777" w:rsidR="00F82C26" w:rsidRPr="0059623D" w:rsidRDefault="00F82C26" w:rsidP="00F82C26">
      <w:pPr>
        <w:pStyle w:val="NormalWeb"/>
        <w:spacing w:before="0" w:beforeAutospacing="0" w:after="0" w:afterAutospacing="0"/>
        <w:rPr>
          <w:rFonts w:asciiTheme="minorHAnsi" w:hAnsiTheme="minorHAnsi" w:cstheme="minorHAnsi"/>
          <w:color w:val="000000"/>
          <w:sz w:val="22"/>
          <w:szCs w:val="22"/>
        </w:rPr>
      </w:pPr>
    </w:p>
    <w:p w14:paraId="6D495CCD" w14:textId="77777777" w:rsidR="00F82C26" w:rsidRPr="0059623D" w:rsidRDefault="00F82C26" w:rsidP="00F82C26">
      <w:pPr>
        <w:pStyle w:val="NormalWeb"/>
        <w:spacing w:before="0" w:beforeAutospacing="0" w:after="0" w:afterAutospacing="0"/>
        <w:rPr>
          <w:rFonts w:asciiTheme="minorHAnsi" w:hAnsiTheme="minorHAnsi" w:cstheme="minorHAnsi"/>
          <w:sz w:val="22"/>
          <w:szCs w:val="22"/>
        </w:rPr>
      </w:pPr>
      <w:proofErr w:type="gramStart"/>
      <w:r w:rsidRPr="0059623D">
        <w:rPr>
          <w:rFonts w:asciiTheme="minorHAnsi" w:hAnsiTheme="minorHAnsi" w:cstheme="minorHAnsi"/>
          <w:color w:val="000000"/>
          <w:sz w:val="22"/>
          <w:szCs w:val="22"/>
        </w:rPr>
        <w:t xml:space="preserve">_______________________________ </w:t>
      </w:r>
      <w:r w:rsidRPr="0059623D">
        <w:rPr>
          <w:rStyle w:val="apple-tab-span"/>
          <w:rFonts w:asciiTheme="minorHAnsi" w:hAnsiTheme="minorHAnsi" w:cstheme="minorHAnsi"/>
          <w:color w:val="000000"/>
          <w:sz w:val="22"/>
          <w:szCs w:val="22"/>
        </w:rPr>
        <w:tab/>
      </w:r>
      <w:proofErr w:type="gramEnd"/>
      <w:r w:rsidRPr="0059623D">
        <w:rPr>
          <w:rFonts w:asciiTheme="minorHAnsi" w:hAnsiTheme="minorHAnsi" w:cstheme="minorHAnsi"/>
          <w:color w:val="000000"/>
          <w:sz w:val="22"/>
          <w:szCs w:val="22"/>
        </w:rPr>
        <w:t>_________</w:t>
      </w:r>
    </w:p>
    <w:p w14:paraId="327A116B" w14:textId="6258DDFA" w:rsidR="00F82C26" w:rsidRPr="0059623D" w:rsidRDefault="00F82C26" w:rsidP="00F82C26">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Signature</w:t>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Fonts w:asciiTheme="minorHAnsi" w:hAnsiTheme="minorHAnsi" w:cstheme="minorHAnsi"/>
          <w:color w:val="000000"/>
          <w:sz w:val="22"/>
          <w:szCs w:val="22"/>
        </w:rPr>
        <w:t>Date</w:t>
      </w:r>
    </w:p>
    <w:p w14:paraId="0FFB13E9" w14:textId="77777777" w:rsidR="00F82C26" w:rsidRPr="0059623D" w:rsidRDefault="00F82C26" w:rsidP="00F82C26">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 xml:space="preserve">Name:  </w:t>
      </w:r>
    </w:p>
    <w:p w14:paraId="2E37838C" w14:textId="77777777" w:rsidR="00F82C26" w:rsidRPr="0059623D" w:rsidRDefault="00F82C26" w:rsidP="00F82C26">
      <w:pPr>
        <w:pStyle w:val="NormalWeb"/>
        <w:spacing w:before="0" w:beforeAutospacing="0" w:after="0" w:afterAutospacing="0"/>
        <w:rPr>
          <w:rFonts w:asciiTheme="minorHAnsi" w:hAnsiTheme="minorHAnsi" w:cstheme="minorHAnsi"/>
          <w:color w:val="000000"/>
          <w:sz w:val="22"/>
          <w:szCs w:val="22"/>
        </w:rPr>
      </w:pPr>
      <w:r w:rsidRPr="0059623D">
        <w:rPr>
          <w:rFonts w:asciiTheme="minorHAnsi" w:hAnsiTheme="minorHAnsi" w:cstheme="minorHAnsi"/>
          <w:color w:val="000000"/>
          <w:sz w:val="22"/>
          <w:szCs w:val="22"/>
        </w:rPr>
        <w:t xml:space="preserve">State </w:t>
      </w:r>
      <w:proofErr w:type="gramStart"/>
      <w:r w:rsidRPr="0059623D">
        <w:rPr>
          <w:rFonts w:asciiTheme="minorHAnsi" w:hAnsiTheme="minorHAnsi" w:cstheme="minorHAnsi"/>
          <w:color w:val="000000"/>
          <w:sz w:val="22"/>
          <w:szCs w:val="22"/>
        </w:rPr>
        <w:t>License #:</w:t>
      </w:r>
      <w:proofErr w:type="gramEnd"/>
      <w:r w:rsidRPr="0059623D">
        <w:rPr>
          <w:rFonts w:asciiTheme="minorHAnsi" w:hAnsiTheme="minorHAnsi" w:cstheme="minorHAnsi"/>
          <w:color w:val="000000"/>
          <w:sz w:val="22"/>
          <w:szCs w:val="22"/>
        </w:rPr>
        <w:t> </w:t>
      </w:r>
    </w:p>
    <w:p w14:paraId="22BE6AA7" w14:textId="77777777" w:rsidR="00F82C26" w:rsidRPr="0059623D" w:rsidRDefault="00F82C26" w:rsidP="00F82C26">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 xml:space="preserve">NPI: </w:t>
      </w:r>
    </w:p>
    <w:p w14:paraId="7E0E4582" w14:textId="77777777" w:rsidR="00F82C26" w:rsidRPr="0059623D" w:rsidRDefault="00F82C26" w:rsidP="00F82C26">
      <w:pPr>
        <w:pStyle w:val="NormalWeb"/>
        <w:spacing w:before="0" w:beforeAutospacing="0" w:after="0" w:afterAutospacing="0"/>
        <w:rPr>
          <w:rFonts w:asciiTheme="minorHAnsi" w:hAnsiTheme="minorHAnsi" w:cstheme="minorHAnsi"/>
          <w:color w:val="000000"/>
          <w:sz w:val="22"/>
          <w:szCs w:val="22"/>
        </w:rPr>
      </w:pPr>
    </w:p>
    <w:p w14:paraId="048D78F4" w14:textId="77777777" w:rsidR="00F82C26" w:rsidRPr="0059623D" w:rsidRDefault="00F82C26" w:rsidP="00F82C26">
      <w:pPr>
        <w:pStyle w:val="NormalWeb"/>
        <w:spacing w:before="0" w:beforeAutospacing="0" w:after="0" w:afterAutospacing="0"/>
        <w:rPr>
          <w:rFonts w:asciiTheme="minorHAnsi" w:hAnsiTheme="minorHAnsi" w:cstheme="minorHAnsi"/>
          <w:sz w:val="22"/>
          <w:szCs w:val="22"/>
        </w:rPr>
      </w:pPr>
      <w:proofErr w:type="gramStart"/>
      <w:r w:rsidRPr="0059623D">
        <w:rPr>
          <w:rFonts w:asciiTheme="minorHAnsi" w:hAnsiTheme="minorHAnsi" w:cstheme="minorHAnsi"/>
          <w:color w:val="000000"/>
          <w:sz w:val="22"/>
          <w:szCs w:val="22"/>
        </w:rPr>
        <w:t xml:space="preserve">_______________________________ </w:t>
      </w:r>
      <w:r w:rsidRPr="0059623D">
        <w:rPr>
          <w:rStyle w:val="apple-tab-span"/>
          <w:rFonts w:asciiTheme="minorHAnsi" w:hAnsiTheme="minorHAnsi" w:cstheme="minorHAnsi"/>
          <w:color w:val="000000"/>
          <w:sz w:val="22"/>
          <w:szCs w:val="22"/>
        </w:rPr>
        <w:tab/>
      </w:r>
      <w:proofErr w:type="gramEnd"/>
      <w:r w:rsidRPr="0059623D">
        <w:rPr>
          <w:rFonts w:asciiTheme="minorHAnsi" w:hAnsiTheme="minorHAnsi" w:cstheme="minorHAnsi"/>
          <w:color w:val="000000"/>
          <w:sz w:val="22"/>
          <w:szCs w:val="22"/>
        </w:rPr>
        <w:t>_________</w:t>
      </w:r>
    </w:p>
    <w:p w14:paraId="4265CB55" w14:textId="0648B310" w:rsidR="00F82C26" w:rsidRPr="0059623D" w:rsidRDefault="00F82C26" w:rsidP="00F82C26">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Signature</w:t>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Style w:val="apple-tab-span"/>
          <w:rFonts w:asciiTheme="minorHAnsi" w:hAnsiTheme="minorHAnsi" w:cstheme="minorHAnsi"/>
          <w:color w:val="000000"/>
          <w:sz w:val="22"/>
          <w:szCs w:val="22"/>
        </w:rPr>
        <w:tab/>
      </w:r>
      <w:r w:rsidRPr="0059623D">
        <w:rPr>
          <w:rFonts w:asciiTheme="minorHAnsi" w:hAnsiTheme="minorHAnsi" w:cstheme="minorHAnsi"/>
          <w:color w:val="000000"/>
          <w:sz w:val="22"/>
          <w:szCs w:val="22"/>
        </w:rPr>
        <w:t>Date</w:t>
      </w:r>
    </w:p>
    <w:p w14:paraId="5636598A" w14:textId="77777777" w:rsidR="00F82C26" w:rsidRPr="0059623D" w:rsidRDefault="00F82C26" w:rsidP="00F82C26">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 xml:space="preserve">Name:  </w:t>
      </w:r>
    </w:p>
    <w:p w14:paraId="7E15DEEB" w14:textId="77777777" w:rsidR="00F82C26" w:rsidRPr="0059623D" w:rsidRDefault="00F82C26" w:rsidP="00F82C26">
      <w:pPr>
        <w:pStyle w:val="NormalWeb"/>
        <w:spacing w:before="0" w:beforeAutospacing="0" w:after="0" w:afterAutospacing="0"/>
        <w:rPr>
          <w:rFonts w:asciiTheme="minorHAnsi" w:hAnsiTheme="minorHAnsi" w:cstheme="minorHAnsi"/>
          <w:color w:val="000000"/>
          <w:sz w:val="22"/>
          <w:szCs w:val="22"/>
        </w:rPr>
      </w:pPr>
      <w:r w:rsidRPr="0059623D">
        <w:rPr>
          <w:rFonts w:asciiTheme="minorHAnsi" w:hAnsiTheme="minorHAnsi" w:cstheme="minorHAnsi"/>
          <w:color w:val="000000"/>
          <w:sz w:val="22"/>
          <w:szCs w:val="22"/>
        </w:rPr>
        <w:t xml:space="preserve">State </w:t>
      </w:r>
      <w:proofErr w:type="gramStart"/>
      <w:r w:rsidRPr="0059623D">
        <w:rPr>
          <w:rFonts w:asciiTheme="minorHAnsi" w:hAnsiTheme="minorHAnsi" w:cstheme="minorHAnsi"/>
          <w:color w:val="000000"/>
          <w:sz w:val="22"/>
          <w:szCs w:val="22"/>
        </w:rPr>
        <w:t>License #:</w:t>
      </w:r>
      <w:proofErr w:type="gramEnd"/>
      <w:r w:rsidRPr="0059623D">
        <w:rPr>
          <w:rFonts w:asciiTheme="minorHAnsi" w:hAnsiTheme="minorHAnsi" w:cstheme="minorHAnsi"/>
          <w:color w:val="000000"/>
          <w:sz w:val="22"/>
          <w:szCs w:val="22"/>
        </w:rPr>
        <w:t> </w:t>
      </w:r>
    </w:p>
    <w:p w14:paraId="2815CAC5" w14:textId="77777777" w:rsidR="00F82C26" w:rsidRPr="0059623D" w:rsidRDefault="00F82C26" w:rsidP="00F82C26">
      <w:pPr>
        <w:pStyle w:val="NormalWeb"/>
        <w:spacing w:before="0" w:beforeAutospacing="0" w:after="0" w:afterAutospacing="0"/>
        <w:rPr>
          <w:rFonts w:asciiTheme="minorHAnsi" w:hAnsiTheme="minorHAnsi" w:cstheme="minorHAnsi"/>
          <w:sz w:val="22"/>
          <w:szCs w:val="22"/>
        </w:rPr>
      </w:pPr>
      <w:r w:rsidRPr="0059623D">
        <w:rPr>
          <w:rFonts w:asciiTheme="minorHAnsi" w:hAnsiTheme="minorHAnsi" w:cstheme="minorHAnsi"/>
          <w:color w:val="000000"/>
          <w:sz w:val="22"/>
          <w:szCs w:val="22"/>
        </w:rPr>
        <w:t xml:space="preserve">NPI: </w:t>
      </w:r>
    </w:p>
    <w:p w14:paraId="6710A288" w14:textId="77777777" w:rsidR="00F82C26" w:rsidRPr="0059623D" w:rsidRDefault="00F82C26" w:rsidP="00F82C26">
      <w:pPr>
        <w:rPr>
          <w:rFonts w:cstheme="minorHAnsi"/>
        </w:rPr>
      </w:pPr>
    </w:p>
    <w:p w14:paraId="7ACDB447" w14:textId="6A3EE37D" w:rsidR="00EC545E" w:rsidRDefault="5C86DE8D" w:rsidP="5C86DE8D">
      <w:pPr>
        <w:pStyle w:val="NormalWeb"/>
        <w:spacing w:before="0" w:beforeAutospacing="0" w:after="0" w:afterAutospacing="0"/>
        <w:rPr>
          <w:b/>
          <w:bCs/>
        </w:rPr>
      </w:pPr>
      <w:r w:rsidRPr="5C86DE8D">
        <w:rPr>
          <w:rFonts w:asciiTheme="minorHAnsi" w:hAnsiTheme="minorHAnsi" w:cstheme="minorBidi"/>
          <w:color w:val="000000" w:themeColor="text1"/>
          <w:sz w:val="22"/>
          <w:szCs w:val="22"/>
        </w:rPr>
        <w:t xml:space="preserve"> </w:t>
      </w:r>
      <w:r w:rsidR="00F82C26" w:rsidRPr="5C86DE8D">
        <w:rPr>
          <w:b/>
          <w:bCs/>
        </w:rPr>
        <w:br w:type="page"/>
      </w:r>
    </w:p>
    <w:p w14:paraId="20239A3D" w14:textId="77777777" w:rsidR="006442B7" w:rsidRDefault="006442B7" w:rsidP="003D133E">
      <w:pPr>
        <w:jc w:val="center"/>
        <w:rPr>
          <w:b/>
          <w:bCs/>
        </w:rPr>
        <w:sectPr w:rsidR="006442B7" w:rsidSect="006442B7">
          <w:footerReference w:type="default" r:id="rId8"/>
          <w:pgSz w:w="12240" w:h="15840"/>
          <w:pgMar w:top="1440" w:right="1440" w:bottom="1440" w:left="1440" w:header="720" w:footer="720" w:gutter="0"/>
          <w:cols w:space="720"/>
          <w:docGrid w:linePitch="360"/>
        </w:sectPr>
      </w:pPr>
    </w:p>
    <w:p w14:paraId="6F54EC3F" w14:textId="6D33E464" w:rsidR="00B4421F" w:rsidRDefault="00B4421F" w:rsidP="003D133E">
      <w:pPr>
        <w:jc w:val="center"/>
        <w:rPr>
          <w:b/>
          <w:bCs/>
        </w:rPr>
      </w:pPr>
      <w:r>
        <w:rPr>
          <w:b/>
          <w:bCs/>
        </w:rPr>
        <w:lastRenderedPageBreak/>
        <w:t xml:space="preserve">Appendix A </w:t>
      </w:r>
    </w:p>
    <w:p w14:paraId="11BEDCC2" w14:textId="41A16878" w:rsidR="006A4DD1" w:rsidRPr="005817B5" w:rsidRDefault="002C27A3" w:rsidP="004126B2">
      <w:pPr>
        <w:pBdr>
          <w:bottom w:val="single" w:sz="4" w:space="1" w:color="auto"/>
        </w:pBdr>
        <w:jc w:val="center"/>
        <w:rPr>
          <w:rFonts w:cstheme="minorHAnsi"/>
          <w:b/>
          <w:bCs/>
        </w:rPr>
      </w:pPr>
      <w:r>
        <w:rPr>
          <w:rFonts w:cstheme="minorHAnsi"/>
          <w:b/>
          <w:bCs/>
        </w:rPr>
        <w:t>Therapeutic</w:t>
      </w:r>
      <w:r w:rsidR="00C51E24">
        <w:rPr>
          <w:rFonts w:cstheme="minorHAnsi"/>
          <w:b/>
          <w:bCs/>
        </w:rPr>
        <w:t xml:space="preserve"> </w:t>
      </w:r>
      <w:r w:rsidR="00754A06" w:rsidRPr="005817B5">
        <w:rPr>
          <w:rFonts w:cstheme="minorHAnsi"/>
          <w:b/>
          <w:bCs/>
        </w:rPr>
        <w:t>Guidelines</w:t>
      </w:r>
    </w:p>
    <w:p w14:paraId="46A32BFF" w14:textId="66194D91" w:rsidR="009B3091" w:rsidRPr="003D133E" w:rsidRDefault="009B3091" w:rsidP="009B3091">
      <w:pPr>
        <w:rPr>
          <w:rFonts w:cstheme="minorHAnsi"/>
        </w:rPr>
      </w:pPr>
      <w:r w:rsidRPr="003D133E">
        <w:rPr>
          <w:rFonts w:cstheme="minorHAnsi"/>
        </w:rPr>
        <w:t xml:space="preserve">The </w:t>
      </w:r>
      <w:r w:rsidR="002C27A3">
        <w:rPr>
          <w:rFonts w:cstheme="minorHAnsi"/>
        </w:rPr>
        <w:t>therapeutic</w:t>
      </w:r>
      <w:r>
        <w:rPr>
          <w:rFonts w:cstheme="minorHAnsi"/>
        </w:rPr>
        <w:t xml:space="preserve"> g</w:t>
      </w:r>
      <w:r w:rsidRPr="003D133E">
        <w:rPr>
          <w:rFonts w:cstheme="minorHAnsi"/>
        </w:rPr>
        <w:t xml:space="preserve">uidelines </w:t>
      </w:r>
      <w:r w:rsidR="00855958">
        <w:rPr>
          <w:rFonts w:cstheme="minorHAnsi"/>
        </w:rPr>
        <w:t>referenced provide clinical guidance</w:t>
      </w:r>
      <w:r w:rsidR="00E05C26">
        <w:rPr>
          <w:rFonts w:cstheme="minorHAnsi"/>
        </w:rPr>
        <w:t xml:space="preserve"> for practitioners</w:t>
      </w:r>
      <w:r w:rsidR="007C51BB">
        <w:rPr>
          <w:rFonts w:cstheme="minorHAnsi"/>
        </w:rPr>
        <w:t>.</w:t>
      </w:r>
      <w:r w:rsidR="004C43AB">
        <w:rPr>
          <w:rFonts w:cstheme="minorHAnsi"/>
        </w:rPr>
        <w:t xml:space="preserve">  </w:t>
      </w:r>
      <w:r w:rsidR="007C51BB">
        <w:rPr>
          <w:rFonts w:cstheme="minorHAnsi"/>
        </w:rPr>
        <w:t>In addition to guidelines, p</w:t>
      </w:r>
      <w:r w:rsidR="004C43AB">
        <w:rPr>
          <w:rFonts w:cstheme="minorHAnsi"/>
        </w:rPr>
        <w:t>atient-specific therapy considerations</w:t>
      </w:r>
      <w:r w:rsidR="00B92633">
        <w:rPr>
          <w:rFonts w:cstheme="minorHAnsi"/>
        </w:rPr>
        <w:t xml:space="preserve"> will include a comprehensive assessment of medical </w:t>
      </w:r>
      <w:r w:rsidR="001E38D6">
        <w:rPr>
          <w:rFonts w:cstheme="minorHAnsi"/>
        </w:rPr>
        <w:t xml:space="preserve">and </w:t>
      </w:r>
      <w:r w:rsidR="00B92633">
        <w:rPr>
          <w:rFonts w:cstheme="minorHAnsi"/>
        </w:rPr>
        <w:t>medication history</w:t>
      </w:r>
      <w:r w:rsidR="001E38D6">
        <w:rPr>
          <w:rFonts w:cstheme="minorHAnsi"/>
        </w:rPr>
        <w:t xml:space="preserve"> and care plans will be developed in the context of </w:t>
      </w:r>
      <w:r w:rsidR="00337065">
        <w:rPr>
          <w:rFonts w:cstheme="minorHAnsi"/>
        </w:rPr>
        <w:t xml:space="preserve">the </w:t>
      </w:r>
      <w:r w:rsidR="00860FE8">
        <w:rPr>
          <w:rFonts w:cstheme="minorHAnsi"/>
        </w:rPr>
        <w:t>patient</w:t>
      </w:r>
      <w:r w:rsidR="00337065">
        <w:rPr>
          <w:rFonts w:cstheme="minorHAnsi"/>
        </w:rPr>
        <w:t>’s</w:t>
      </w:r>
      <w:r w:rsidR="00860FE8">
        <w:rPr>
          <w:rFonts w:cstheme="minorHAnsi"/>
        </w:rPr>
        <w:t xml:space="preserve"> goals of therapy, access to medication, social determinants of health, and adherence</w:t>
      </w:r>
      <w:r w:rsidR="00855958">
        <w:rPr>
          <w:rFonts w:cstheme="minorHAnsi"/>
        </w:rPr>
        <w:t xml:space="preserve">.  This CPA </w:t>
      </w:r>
      <w:r w:rsidRPr="003D133E">
        <w:rPr>
          <w:rFonts w:cstheme="minorHAnsi"/>
        </w:rPr>
        <w:t>allow</w:t>
      </w:r>
      <w:r w:rsidR="00855958">
        <w:rPr>
          <w:rFonts w:cstheme="minorHAnsi"/>
        </w:rPr>
        <w:t>s</w:t>
      </w:r>
      <w:r w:rsidRPr="003D133E">
        <w:rPr>
          <w:rFonts w:cstheme="minorHAnsi"/>
        </w:rPr>
        <w:t xml:space="preserve"> for professional discretion and deviation</w:t>
      </w:r>
      <w:r w:rsidR="007C51BB">
        <w:rPr>
          <w:rFonts w:cstheme="minorHAnsi"/>
        </w:rPr>
        <w:t xml:space="preserve"> from </w:t>
      </w:r>
      <w:r w:rsidR="002C27A3">
        <w:rPr>
          <w:rFonts w:cstheme="minorHAnsi"/>
        </w:rPr>
        <w:t>therapeutic</w:t>
      </w:r>
      <w:r w:rsidR="007C51BB">
        <w:rPr>
          <w:rFonts w:cstheme="minorHAnsi"/>
        </w:rPr>
        <w:t xml:space="preserve"> guidelines</w:t>
      </w:r>
      <w:r w:rsidRPr="003D133E">
        <w:rPr>
          <w:rFonts w:cstheme="minorHAnsi"/>
        </w:rPr>
        <w:t xml:space="preserve"> where the individual </w:t>
      </w:r>
      <w:r w:rsidR="007C51BB">
        <w:rPr>
          <w:rFonts w:cstheme="minorHAnsi"/>
        </w:rPr>
        <w:t>practitioner</w:t>
      </w:r>
      <w:r w:rsidRPr="003D133E">
        <w:rPr>
          <w:rFonts w:cstheme="minorHAnsi"/>
        </w:rPr>
        <w:t xml:space="preserve"> deems appropriate.  </w:t>
      </w:r>
    </w:p>
    <w:tbl>
      <w:tblPr>
        <w:tblStyle w:val="TableGrid"/>
        <w:tblW w:w="0" w:type="auto"/>
        <w:tblLayout w:type="fixed"/>
        <w:tblLook w:val="04A0" w:firstRow="1" w:lastRow="0" w:firstColumn="1" w:lastColumn="0" w:noHBand="0" w:noVBand="1"/>
      </w:tblPr>
      <w:tblGrid>
        <w:gridCol w:w="1705"/>
        <w:gridCol w:w="4680"/>
        <w:gridCol w:w="6480"/>
      </w:tblGrid>
      <w:tr w:rsidR="005D015E" w:rsidRPr="005817B5" w14:paraId="61E614B9" w14:textId="77777777" w:rsidTr="007626FA">
        <w:tc>
          <w:tcPr>
            <w:tcW w:w="1705" w:type="dxa"/>
          </w:tcPr>
          <w:p w14:paraId="188B6F45" w14:textId="77E18E72" w:rsidR="006A4DD1" w:rsidRPr="005817B5" w:rsidRDefault="0092042B">
            <w:pPr>
              <w:jc w:val="center"/>
              <w:rPr>
                <w:rFonts w:cstheme="minorHAnsi"/>
                <w:b/>
                <w:bCs/>
              </w:rPr>
            </w:pPr>
            <w:r>
              <w:rPr>
                <w:rFonts w:cstheme="minorHAnsi"/>
                <w:b/>
                <w:bCs/>
              </w:rPr>
              <w:t>Medical Condition</w:t>
            </w:r>
          </w:p>
        </w:tc>
        <w:tc>
          <w:tcPr>
            <w:tcW w:w="4680" w:type="dxa"/>
          </w:tcPr>
          <w:p w14:paraId="38385633" w14:textId="701BF7D2" w:rsidR="006A4DD1" w:rsidRPr="005817B5" w:rsidRDefault="004D3BD7">
            <w:pPr>
              <w:jc w:val="center"/>
              <w:rPr>
                <w:rFonts w:cstheme="minorHAnsi"/>
                <w:b/>
                <w:bCs/>
              </w:rPr>
            </w:pPr>
            <w:r w:rsidRPr="005817B5">
              <w:rPr>
                <w:rFonts w:cstheme="minorHAnsi"/>
                <w:b/>
                <w:bCs/>
              </w:rPr>
              <w:t xml:space="preserve">Pharmacotherapy and </w:t>
            </w:r>
            <w:r w:rsidR="00E360FF" w:rsidRPr="005817B5">
              <w:rPr>
                <w:rFonts w:cstheme="minorHAnsi"/>
                <w:b/>
                <w:bCs/>
              </w:rPr>
              <w:t>Medical Supp</w:t>
            </w:r>
            <w:r w:rsidR="00F23D77">
              <w:rPr>
                <w:rFonts w:cstheme="minorHAnsi"/>
                <w:b/>
                <w:bCs/>
              </w:rPr>
              <w:t>ly Orders Authorized</w:t>
            </w:r>
          </w:p>
        </w:tc>
        <w:tc>
          <w:tcPr>
            <w:tcW w:w="6480" w:type="dxa"/>
          </w:tcPr>
          <w:p w14:paraId="644FBBD7" w14:textId="5C8C63FE" w:rsidR="006A4DD1" w:rsidRPr="002C27A3" w:rsidRDefault="002C27A3">
            <w:pPr>
              <w:jc w:val="center"/>
              <w:rPr>
                <w:rFonts w:cstheme="minorHAnsi"/>
                <w:b/>
                <w:bCs/>
              </w:rPr>
            </w:pPr>
            <w:r w:rsidRPr="002C27A3">
              <w:rPr>
                <w:rFonts w:cstheme="minorHAnsi"/>
                <w:b/>
                <w:bCs/>
              </w:rPr>
              <w:t>Therapeutic</w:t>
            </w:r>
            <w:r w:rsidR="00C51E24" w:rsidRPr="002C27A3">
              <w:rPr>
                <w:rFonts w:cstheme="minorHAnsi"/>
                <w:b/>
                <w:bCs/>
              </w:rPr>
              <w:t xml:space="preserve"> </w:t>
            </w:r>
            <w:r w:rsidR="006A4DD1" w:rsidRPr="002C27A3">
              <w:rPr>
                <w:rFonts w:cstheme="minorHAnsi"/>
                <w:b/>
                <w:bCs/>
              </w:rPr>
              <w:t>Guidelines</w:t>
            </w:r>
          </w:p>
        </w:tc>
      </w:tr>
      <w:tr w:rsidR="005D015E" w:rsidRPr="005817B5" w14:paraId="349A8BAF" w14:textId="77777777" w:rsidTr="007626FA">
        <w:tc>
          <w:tcPr>
            <w:tcW w:w="1705" w:type="dxa"/>
          </w:tcPr>
          <w:p w14:paraId="52B5F371" w14:textId="7F017997" w:rsidR="006A4DD1" w:rsidRPr="001C67B0" w:rsidRDefault="005C678C" w:rsidP="001C67B0">
            <w:pPr>
              <w:jc w:val="center"/>
              <w:rPr>
                <w:rFonts w:cstheme="minorHAnsi"/>
                <w:highlight w:val="yellow"/>
              </w:rPr>
            </w:pPr>
            <w:r w:rsidRPr="001C67B0">
              <w:rPr>
                <w:rFonts w:cstheme="minorHAnsi"/>
                <w:highlight w:val="yellow"/>
              </w:rPr>
              <w:t>[insert relevant diagnosis]</w:t>
            </w:r>
          </w:p>
        </w:tc>
        <w:tc>
          <w:tcPr>
            <w:tcW w:w="4680" w:type="dxa"/>
          </w:tcPr>
          <w:p w14:paraId="29492805" w14:textId="7B8C356F" w:rsidR="00154FB0" w:rsidRPr="001C67B0" w:rsidRDefault="005C678C" w:rsidP="001C67B0">
            <w:pPr>
              <w:pStyle w:val="NormalWeb"/>
              <w:spacing w:before="0" w:beforeAutospacing="0" w:after="0" w:afterAutospacing="0"/>
              <w:ind w:left="360"/>
              <w:jc w:val="center"/>
              <w:textAlignment w:val="baseline"/>
              <w:rPr>
                <w:rFonts w:asciiTheme="minorHAnsi" w:hAnsiTheme="minorHAnsi" w:cstheme="minorHAnsi"/>
                <w:color w:val="000000"/>
                <w:sz w:val="22"/>
                <w:szCs w:val="22"/>
                <w:highlight w:val="yellow"/>
              </w:rPr>
            </w:pPr>
            <w:r w:rsidRPr="001C67B0">
              <w:rPr>
                <w:rFonts w:asciiTheme="minorHAnsi" w:hAnsiTheme="minorHAnsi" w:cstheme="minorHAnsi"/>
                <w:color w:val="000000"/>
                <w:sz w:val="22"/>
                <w:szCs w:val="22"/>
                <w:highlight w:val="yellow"/>
              </w:rPr>
              <w:t>[insert relevant pharmacotherapy classes</w:t>
            </w:r>
            <w:r w:rsidR="001C67B0" w:rsidRPr="001C67B0">
              <w:rPr>
                <w:rFonts w:asciiTheme="minorHAnsi" w:hAnsiTheme="minorHAnsi" w:cstheme="minorHAnsi"/>
                <w:color w:val="000000"/>
                <w:sz w:val="22"/>
                <w:szCs w:val="22"/>
                <w:highlight w:val="yellow"/>
              </w:rPr>
              <w:t xml:space="preserve"> and medical supplies]</w:t>
            </w:r>
          </w:p>
        </w:tc>
        <w:tc>
          <w:tcPr>
            <w:tcW w:w="6480" w:type="dxa"/>
          </w:tcPr>
          <w:p w14:paraId="769105DB" w14:textId="05F8B741" w:rsidR="006A4DD1" w:rsidRPr="001C67B0" w:rsidRDefault="001C67B0" w:rsidP="001C67B0">
            <w:pPr>
              <w:jc w:val="center"/>
              <w:rPr>
                <w:rFonts w:cstheme="minorHAnsi"/>
                <w:highlight w:val="yellow"/>
              </w:rPr>
            </w:pPr>
            <w:r w:rsidRPr="001C67B0">
              <w:rPr>
                <w:rFonts w:cstheme="minorHAnsi"/>
                <w:highlight w:val="yellow"/>
              </w:rPr>
              <w:t>[insert link to therapeutic guidelines]</w:t>
            </w:r>
          </w:p>
        </w:tc>
      </w:tr>
      <w:tr w:rsidR="001C67B0" w:rsidRPr="005817B5" w14:paraId="55B8D773" w14:textId="77777777" w:rsidTr="007626FA">
        <w:tc>
          <w:tcPr>
            <w:tcW w:w="1705" w:type="dxa"/>
          </w:tcPr>
          <w:p w14:paraId="27ED8C6C" w14:textId="5E8E98E8" w:rsidR="001C67B0" w:rsidRPr="001C67B0" w:rsidRDefault="001C67B0" w:rsidP="001C67B0">
            <w:pPr>
              <w:jc w:val="center"/>
              <w:rPr>
                <w:rFonts w:cstheme="minorHAnsi"/>
                <w:b/>
                <w:bCs/>
                <w:highlight w:val="yellow"/>
              </w:rPr>
            </w:pPr>
            <w:r w:rsidRPr="001C67B0">
              <w:rPr>
                <w:rFonts w:cstheme="minorHAnsi"/>
                <w:highlight w:val="yellow"/>
              </w:rPr>
              <w:t>[insert relevant diagnosis]</w:t>
            </w:r>
          </w:p>
        </w:tc>
        <w:tc>
          <w:tcPr>
            <w:tcW w:w="4680" w:type="dxa"/>
          </w:tcPr>
          <w:p w14:paraId="5F30C886" w14:textId="1F8CE868" w:rsidR="001C67B0" w:rsidRPr="001C67B0" w:rsidRDefault="001C67B0" w:rsidP="001C67B0">
            <w:pPr>
              <w:jc w:val="center"/>
              <w:rPr>
                <w:rFonts w:cstheme="minorHAnsi"/>
                <w:b/>
                <w:bCs/>
                <w:highlight w:val="yellow"/>
              </w:rPr>
            </w:pPr>
            <w:r w:rsidRPr="001C67B0">
              <w:rPr>
                <w:rFonts w:cstheme="minorHAnsi"/>
                <w:color w:val="000000"/>
                <w:highlight w:val="yellow"/>
              </w:rPr>
              <w:t>[insert relevant pharmacotherapy classes and medical supplies]</w:t>
            </w:r>
          </w:p>
        </w:tc>
        <w:tc>
          <w:tcPr>
            <w:tcW w:w="6480" w:type="dxa"/>
          </w:tcPr>
          <w:p w14:paraId="6D89ACD8" w14:textId="7BBC9560" w:rsidR="001C67B0" w:rsidRPr="001C67B0" w:rsidRDefault="001C67B0" w:rsidP="001C67B0">
            <w:pPr>
              <w:jc w:val="center"/>
              <w:rPr>
                <w:rFonts w:cstheme="minorHAnsi"/>
                <w:highlight w:val="yellow"/>
              </w:rPr>
            </w:pPr>
            <w:r w:rsidRPr="001C67B0">
              <w:rPr>
                <w:rFonts w:cstheme="minorHAnsi"/>
                <w:highlight w:val="yellow"/>
              </w:rPr>
              <w:t>[insert link to therapeutic guidelines]</w:t>
            </w:r>
          </w:p>
        </w:tc>
      </w:tr>
    </w:tbl>
    <w:p w14:paraId="0FBE7497" w14:textId="77777777" w:rsidR="006A4DD1" w:rsidRPr="005817B5" w:rsidRDefault="006A4DD1" w:rsidP="003D133E">
      <w:pPr>
        <w:jc w:val="center"/>
        <w:rPr>
          <w:rFonts w:cstheme="minorHAnsi"/>
          <w:b/>
          <w:bCs/>
        </w:rPr>
      </w:pPr>
    </w:p>
    <w:p w14:paraId="6CFE22ED" w14:textId="77777777" w:rsidR="00754A06" w:rsidRPr="005817B5" w:rsidRDefault="00754A06" w:rsidP="003D133E">
      <w:pPr>
        <w:jc w:val="center"/>
        <w:rPr>
          <w:rFonts w:cstheme="minorHAnsi"/>
          <w:b/>
          <w:bCs/>
        </w:rPr>
      </w:pPr>
    </w:p>
    <w:p w14:paraId="32EB0503" w14:textId="77777777" w:rsidR="00901972" w:rsidRPr="005817B5" w:rsidRDefault="00901972">
      <w:pPr>
        <w:rPr>
          <w:rFonts w:cstheme="minorHAnsi"/>
          <w:b/>
          <w:bCs/>
        </w:rPr>
      </w:pPr>
      <w:r w:rsidRPr="005817B5">
        <w:rPr>
          <w:rFonts w:cstheme="minorHAnsi"/>
          <w:b/>
          <w:bCs/>
        </w:rPr>
        <w:br w:type="page"/>
      </w:r>
    </w:p>
    <w:p w14:paraId="40C00A90" w14:textId="77777777" w:rsidR="009C7544" w:rsidRDefault="009C7544" w:rsidP="003D133E">
      <w:pPr>
        <w:jc w:val="center"/>
        <w:rPr>
          <w:rFonts w:cstheme="minorHAnsi"/>
          <w:b/>
          <w:bCs/>
        </w:rPr>
        <w:sectPr w:rsidR="009C7544" w:rsidSect="006442B7">
          <w:pgSz w:w="15840" w:h="12240" w:orient="landscape"/>
          <w:pgMar w:top="1440" w:right="1440" w:bottom="1440" w:left="1440" w:header="720" w:footer="720" w:gutter="0"/>
          <w:cols w:space="720"/>
          <w:docGrid w:linePitch="360"/>
        </w:sectPr>
      </w:pPr>
    </w:p>
    <w:p w14:paraId="656B8818" w14:textId="3D855B84" w:rsidR="00C51E24" w:rsidRDefault="00C51E24" w:rsidP="00C51E24">
      <w:pPr>
        <w:jc w:val="center"/>
        <w:rPr>
          <w:rFonts w:cstheme="minorHAnsi"/>
          <w:b/>
          <w:bCs/>
        </w:rPr>
      </w:pPr>
      <w:r>
        <w:rPr>
          <w:rFonts w:cstheme="minorHAnsi"/>
          <w:b/>
          <w:bCs/>
        </w:rPr>
        <w:lastRenderedPageBreak/>
        <w:t>Appendix B</w:t>
      </w:r>
    </w:p>
    <w:p w14:paraId="73ACDA7A" w14:textId="096D1922" w:rsidR="00C51E24" w:rsidRDefault="00C51E24" w:rsidP="00C51E24">
      <w:pPr>
        <w:jc w:val="center"/>
        <w:rPr>
          <w:rFonts w:cstheme="minorHAnsi"/>
          <w:b/>
          <w:bCs/>
        </w:rPr>
      </w:pPr>
      <w:r w:rsidRPr="00C51E24">
        <w:rPr>
          <w:rFonts w:cstheme="minorHAnsi"/>
          <w:b/>
          <w:bCs/>
          <w:highlight w:val="yellow"/>
        </w:rPr>
        <w:t>[Insert institution-</w:t>
      </w:r>
      <w:r w:rsidR="00F2154E">
        <w:rPr>
          <w:rFonts w:cstheme="minorHAnsi"/>
          <w:b/>
          <w:bCs/>
          <w:highlight w:val="yellow"/>
        </w:rPr>
        <w:t xml:space="preserve"> or practice</w:t>
      </w:r>
      <w:r w:rsidR="008C6FBA">
        <w:rPr>
          <w:rFonts w:cstheme="minorHAnsi"/>
          <w:b/>
          <w:bCs/>
          <w:highlight w:val="yellow"/>
        </w:rPr>
        <w:t>-</w:t>
      </w:r>
      <w:r w:rsidRPr="00C51E24">
        <w:rPr>
          <w:rFonts w:cstheme="minorHAnsi"/>
          <w:b/>
          <w:bCs/>
          <w:highlight w:val="yellow"/>
        </w:rPr>
        <w:t>specific treatment protocols/guidelines</w:t>
      </w:r>
      <w:r w:rsidR="008F4BE1">
        <w:rPr>
          <w:rFonts w:cstheme="minorHAnsi"/>
          <w:b/>
          <w:bCs/>
          <w:highlight w:val="yellow"/>
        </w:rPr>
        <w:t xml:space="preserve"> if required/desired</w:t>
      </w:r>
      <w:r w:rsidRPr="00C51E24">
        <w:rPr>
          <w:rFonts w:cstheme="minorHAnsi"/>
          <w:b/>
          <w:bCs/>
          <w:highlight w:val="yellow"/>
        </w:rPr>
        <w:t>]</w:t>
      </w:r>
    </w:p>
    <w:p w14:paraId="2EE8A316" w14:textId="77777777" w:rsidR="00C51E24" w:rsidRDefault="00C51E24" w:rsidP="00C51E24">
      <w:pPr>
        <w:jc w:val="center"/>
        <w:rPr>
          <w:rFonts w:cstheme="minorHAnsi"/>
          <w:b/>
          <w:bCs/>
        </w:rPr>
      </w:pPr>
    </w:p>
    <w:p w14:paraId="2EA2FB09" w14:textId="77777777" w:rsidR="00C51E24" w:rsidRDefault="00C51E24" w:rsidP="00C51E24">
      <w:pPr>
        <w:jc w:val="center"/>
        <w:rPr>
          <w:rFonts w:cstheme="minorHAnsi"/>
          <w:b/>
          <w:bCs/>
        </w:rPr>
      </w:pPr>
    </w:p>
    <w:p w14:paraId="6FB11882" w14:textId="77777777" w:rsidR="00C51E24" w:rsidRDefault="00C51E24">
      <w:pPr>
        <w:rPr>
          <w:rFonts w:cstheme="minorHAnsi"/>
          <w:b/>
          <w:bCs/>
        </w:rPr>
      </w:pPr>
      <w:r>
        <w:rPr>
          <w:rFonts w:cstheme="minorHAnsi"/>
          <w:b/>
          <w:bCs/>
        </w:rPr>
        <w:br w:type="page"/>
      </w:r>
    </w:p>
    <w:p w14:paraId="3F5D8872" w14:textId="50372C73" w:rsidR="00754A06" w:rsidRPr="005817B5" w:rsidRDefault="00754A06" w:rsidP="003D133E">
      <w:pPr>
        <w:jc w:val="center"/>
        <w:rPr>
          <w:rFonts w:cstheme="minorHAnsi"/>
          <w:b/>
          <w:bCs/>
        </w:rPr>
      </w:pPr>
      <w:r w:rsidRPr="005817B5">
        <w:rPr>
          <w:rFonts w:cstheme="minorHAnsi"/>
          <w:b/>
          <w:bCs/>
        </w:rPr>
        <w:lastRenderedPageBreak/>
        <w:t xml:space="preserve">Appendix </w:t>
      </w:r>
      <w:r w:rsidR="00901972" w:rsidRPr="005817B5">
        <w:rPr>
          <w:rFonts w:cstheme="minorHAnsi"/>
          <w:b/>
          <w:bCs/>
        </w:rPr>
        <w:t>C</w:t>
      </w:r>
    </w:p>
    <w:p w14:paraId="47054C85" w14:textId="40536ED8" w:rsidR="00754A06" w:rsidRPr="005817B5" w:rsidRDefault="00754A06" w:rsidP="004126B2">
      <w:pPr>
        <w:pBdr>
          <w:bottom w:val="single" w:sz="4" w:space="1" w:color="auto"/>
        </w:pBdr>
        <w:jc w:val="center"/>
        <w:rPr>
          <w:rFonts w:cstheme="minorHAnsi"/>
          <w:b/>
          <w:bCs/>
        </w:rPr>
      </w:pPr>
      <w:r w:rsidRPr="005817B5">
        <w:rPr>
          <w:rFonts w:cstheme="minorHAnsi"/>
          <w:b/>
          <w:bCs/>
        </w:rPr>
        <w:t>Orders and Point of Care Testing</w:t>
      </w:r>
    </w:p>
    <w:p w14:paraId="101069EB" w14:textId="77777777" w:rsidR="00754A06" w:rsidRPr="005817B5" w:rsidRDefault="00754A06" w:rsidP="003D133E">
      <w:pPr>
        <w:jc w:val="center"/>
        <w:rPr>
          <w:rFonts w:cstheme="minorHAnsi"/>
          <w:b/>
          <w:bCs/>
        </w:rPr>
      </w:pPr>
    </w:p>
    <w:p w14:paraId="09E134F8" w14:textId="20A637BB" w:rsidR="00012336" w:rsidRDefault="00012336" w:rsidP="000123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clinical pharmacist is authorized to order tests or perform point of care tests to monitor safety and efficacy of drug therapy and to assess</w:t>
      </w:r>
      <w:r w:rsidR="0076293E">
        <w:rPr>
          <w:rFonts w:ascii="Times New Roman" w:eastAsia="Times New Roman" w:hAnsi="Times New Roman" w:cs="Times New Roman"/>
          <w:sz w:val="24"/>
          <w:szCs w:val="24"/>
        </w:rPr>
        <w:t xml:space="preserve"> patient-specific medical conditions</w:t>
      </w:r>
      <w:r>
        <w:rPr>
          <w:rFonts w:ascii="Times New Roman" w:eastAsia="Times New Roman" w:hAnsi="Times New Roman" w:cs="Times New Roman"/>
          <w:sz w:val="24"/>
          <w:szCs w:val="24"/>
        </w:rPr>
        <w:t>. The results of all tests ordered</w:t>
      </w:r>
      <w:r w:rsidR="004E3047">
        <w:rPr>
          <w:rFonts w:ascii="Times New Roman" w:eastAsia="Times New Roman" w:hAnsi="Times New Roman" w:cs="Times New Roman"/>
          <w:sz w:val="24"/>
          <w:szCs w:val="24"/>
        </w:rPr>
        <w:t xml:space="preserve"> or performed</w:t>
      </w:r>
      <w:r>
        <w:rPr>
          <w:rFonts w:ascii="Times New Roman" w:eastAsia="Times New Roman" w:hAnsi="Times New Roman" w:cs="Times New Roman"/>
          <w:sz w:val="24"/>
          <w:szCs w:val="24"/>
        </w:rPr>
        <w:t xml:space="preserve"> under th</w:t>
      </w:r>
      <w:r w:rsidR="004E3047">
        <w:rPr>
          <w:rFonts w:ascii="Times New Roman" w:eastAsia="Times New Roman" w:hAnsi="Times New Roman" w:cs="Times New Roman"/>
          <w:sz w:val="24"/>
          <w:szCs w:val="24"/>
        </w:rPr>
        <w:t>is agreement</w:t>
      </w:r>
      <w:r>
        <w:rPr>
          <w:rFonts w:ascii="Times New Roman" w:eastAsia="Times New Roman" w:hAnsi="Times New Roman" w:cs="Times New Roman"/>
          <w:sz w:val="24"/>
          <w:szCs w:val="24"/>
        </w:rPr>
        <w:t xml:space="preserve"> shall be reviewed and managed by the clinical pharmacist. The clinical pharmacist </w:t>
      </w:r>
      <w:r w:rsidR="00300540">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contact the physician for significantly abnormal or unexpected lab results. </w:t>
      </w:r>
      <w:r w:rsidR="002E41C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ests authorized by this </w:t>
      </w:r>
      <w:r w:rsidR="008E6A57">
        <w:rPr>
          <w:rFonts w:ascii="Times New Roman" w:eastAsia="Times New Roman" w:hAnsi="Times New Roman" w:cs="Times New Roman"/>
          <w:sz w:val="24"/>
          <w:szCs w:val="24"/>
        </w:rPr>
        <w:t>agreement</w:t>
      </w:r>
      <w:r>
        <w:rPr>
          <w:rFonts w:ascii="Times New Roman" w:eastAsia="Times New Roman" w:hAnsi="Times New Roman" w:cs="Times New Roman"/>
          <w:sz w:val="24"/>
          <w:szCs w:val="24"/>
        </w:rPr>
        <w:t xml:space="preserve"> include:</w:t>
      </w:r>
    </w:p>
    <w:p w14:paraId="107EB890" w14:textId="3CCD7626" w:rsidR="00CD5E70" w:rsidRDefault="007D2450" w:rsidP="00656D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7D2450">
        <w:rPr>
          <w:rFonts w:ascii="Times New Roman" w:eastAsia="Times New Roman" w:hAnsi="Times New Roman" w:cs="Times New Roman"/>
          <w:color w:val="000000"/>
          <w:sz w:val="24"/>
          <w:szCs w:val="24"/>
          <w:highlight w:val="yellow"/>
        </w:rPr>
        <w:t>[insert relevant tests]</w:t>
      </w:r>
    </w:p>
    <w:p w14:paraId="521F2694" w14:textId="77777777" w:rsidR="0042573B" w:rsidRDefault="0042573B" w:rsidP="00656D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CE3530E" w14:textId="77777777" w:rsidR="0042573B" w:rsidRDefault="0042573B" w:rsidP="00656D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43C63E" w14:textId="2C1944A4" w:rsidR="0042573B" w:rsidRDefault="0042573B">
      <w:pP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br w:type="page"/>
      </w:r>
    </w:p>
    <w:p w14:paraId="77F6C023" w14:textId="77777777" w:rsidR="006F4D29" w:rsidRPr="00371DAF" w:rsidRDefault="006F4D29" w:rsidP="006F4D29">
      <w:pPr>
        <w:pStyle w:val="ListParagraph"/>
        <w:pBdr>
          <w:top w:val="nil"/>
          <w:left w:val="nil"/>
          <w:bottom w:val="nil"/>
          <w:right w:val="nil"/>
          <w:between w:val="nil"/>
        </w:pBdr>
        <w:spacing w:after="0" w:line="240" w:lineRule="auto"/>
        <w:ind w:left="360"/>
        <w:jc w:val="both"/>
        <w:rPr>
          <w:rFonts w:eastAsia="Times New Roman" w:cstheme="minorHAnsi"/>
          <w:color w:val="000000"/>
        </w:rPr>
      </w:pPr>
    </w:p>
    <w:p w14:paraId="66DF2239" w14:textId="77777777" w:rsidR="00E44DE2" w:rsidRPr="00371DAF" w:rsidRDefault="00E44DE2" w:rsidP="00656D85">
      <w:pPr>
        <w:pBdr>
          <w:top w:val="nil"/>
          <w:left w:val="nil"/>
          <w:bottom w:val="nil"/>
          <w:right w:val="nil"/>
          <w:between w:val="nil"/>
        </w:pBdr>
        <w:spacing w:after="0" w:line="240" w:lineRule="auto"/>
        <w:jc w:val="both"/>
        <w:rPr>
          <w:rFonts w:eastAsia="Times New Roman" w:cstheme="minorHAnsi"/>
          <w:color w:val="000000"/>
        </w:rPr>
      </w:pPr>
    </w:p>
    <w:p w14:paraId="0257C101" w14:textId="77777777" w:rsidR="00E44DE2" w:rsidRPr="007860C4" w:rsidRDefault="00E44DE2" w:rsidP="00656D85">
      <w:pPr>
        <w:pBdr>
          <w:top w:val="nil"/>
          <w:left w:val="nil"/>
          <w:bottom w:val="nil"/>
          <w:right w:val="nil"/>
          <w:between w:val="nil"/>
        </w:pBdr>
        <w:spacing w:after="0" w:line="240" w:lineRule="auto"/>
        <w:jc w:val="both"/>
        <w:rPr>
          <w:rFonts w:eastAsia="Times New Roman" w:cstheme="minorHAnsi"/>
          <w:color w:val="000000"/>
          <w:sz w:val="24"/>
          <w:szCs w:val="24"/>
        </w:rPr>
      </w:pPr>
    </w:p>
    <w:p w14:paraId="758E51FE" w14:textId="77777777" w:rsidR="00E44DE2" w:rsidRPr="007860C4" w:rsidRDefault="00E44DE2" w:rsidP="00656D85">
      <w:pPr>
        <w:pBdr>
          <w:top w:val="nil"/>
          <w:left w:val="nil"/>
          <w:bottom w:val="nil"/>
          <w:right w:val="nil"/>
          <w:between w:val="nil"/>
        </w:pBdr>
        <w:spacing w:after="0" w:line="240" w:lineRule="auto"/>
        <w:jc w:val="both"/>
        <w:rPr>
          <w:rFonts w:eastAsia="Times New Roman" w:cstheme="minorHAnsi"/>
          <w:color w:val="000000"/>
          <w:sz w:val="24"/>
          <w:szCs w:val="24"/>
        </w:rPr>
      </w:pPr>
    </w:p>
    <w:p w14:paraId="5F03BE27" w14:textId="77777777" w:rsidR="00E44DE2" w:rsidRPr="007860C4" w:rsidRDefault="00E44DE2" w:rsidP="00656D85">
      <w:pPr>
        <w:pBdr>
          <w:top w:val="nil"/>
          <w:left w:val="nil"/>
          <w:bottom w:val="nil"/>
          <w:right w:val="nil"/>
          <w:between w:val="nil"/>
        </w:pBdr>
        <w:spacing w:after="0" w:line="240" w:lineRule="auto"/>
        <w:jc w:val="both"/>
        <w:rPr>
          <w:rFonts w:eastAsia="Times New Roman" w:cstheme="minorHAnsi"/>
          <w:color w:val="000000"/>
          <w:sz w:val="24"/>
          <w:szCs w:val="24"/>
        </w:rPr>
      </w:pPr>
    </w:p>
    <w:p w14:paraId="6468063B" w14:textId="2C69575C" w:rsidR="00E44DE2" w:rsidRPr="007813B9" w:rsidRDefault="00E44DE2" w:rsidP="00656D85">
      <w:pPr>
        <w:pBdr>
          <w:top w:val="nil"/>
          <w:left w:val="nil"/>
          <w:bottom w:val="nil"/>
          <w:right w:val="nil"/>
          <w:between w:val="nil"/>
        </w:pBdr>
        <w:spacing w:after="0" w:line="240" w:lineRule="auto"/>
        <w:jc w:val="both"/>
        <w:rPr>
          <w:rFonts w:eastAsia="Times New Roman" w:cstheme="minorHAnsi"/>
          <w:b/>
          <w:bCs/>
          <w:color w:val="000000"/>
        </w:rPr>
      </w:pPr>
      <w:r w:rsidRPr="007813B9">
        <w:rPr>
          <w:rFonts w:eastAsia="Times New Roman" w:cstheme="minorHAnsi"/>
          <w:b/>
          <w:bCs/>
          <w:color w:val="000000"/>
        </w:rPr>
        <w:t>References:</w:t>
      </w:r>
    </w:p>
    <w:p w14:paraId="72963CA6" w14:textId="77777777" w:rsidR="00E44DE2" w:rsidRPr="007860C4" w:rsidRDefault="00E44DE2" w:rsidP="00656D85">
      <w:pPr>
        <w:pBdr>
          <w:top w:val="nil"/>
          <w:left w:val="nil"/>
          <w:bottom w:val="nil"/>
          <w:right w:val="nil"/>
          <w:between w:val="nil"/>
        </w:pBdr>
        <w:spacing w:after="0" w:line="240" w:lineRule="auto"/>
        <w:jc w:val="both"/>
        <w:rPr>
          <w:rFonts w:eastAsia="Times New Roman" w:cstheme="minorHAnsi"/>
          <w:color w:val="000000"/>
          <w:sz w:val="18"/>
          <w:szCs w:val="18"/>
        </w:rPr>
      </w:pPr>
    </w:p>
    <w:p w14:paraId="0A961634" w14:textId="77777777" w:rsidR="0019590C" w:rsidRPr="006D5DED" w:rsidRDefault="0019590C" w:rsidP="0019590C">
      <w:pPr>
        <w:autoSpaceDE w:val="0"/>
        <w:autoSpaceDN w:val="0"/>
        <w:adjustRightInd w:val="0"/>
        <w:spacing w:after="0" w:line="240" w:lineRule="auto"/>
        <w:rPr>
          <w:rFonts w:ascii="Calibri" w:hAnsi="Calibri" w:cs="Calibri"/>
          <w:color w:val="000000"/>
          <w:kern w:val="0"/>
        </w:rPr>
      </w:pPr>
      <w:r w:rsidRPr="006D5DED">
        <w:rPr>
          <w:rFonts w:ascii="Calibri" w:hAnsi="Calibri" w:cs="Calibri"/>
          <w:color w:val="000000"/>
          <w:kern w:val="0"/>
        </w:rPr>
        <w:t xml:space="preserve">Advancing team-based care through collaborative practice agreements.  2014.  Available from: </w:t>
      </w:r>
      <w:hyperlink r:id="rId9" w:history="1">
        <w:r w:rsidRPr="006D5DED">
          <w:rPr>
            <w:rStyle w:val="Hyperlink"/>
            <w:rFonts w:ascii="Calibri" w:hAnsi="Calibri" w:cs="Calibri"/>
            <w:kern w:val="0"/>
          </w:rPr>
          <w:t>https://www.cdc.gov/cardiovascular-resources/media/cpa-team-based-care.pdf</w:t>
        </w:r>
      </w:hyperlink>
    </w:p>
    <w:p w14:paraId="72282EBE" w14:textId="77777777" w:rsidR="0019590C" w:rsidRPr="006D5DED" w:rsidRDefault="0019590C" w:rsidP="005001B5">
      <w:pPr>
        <w:pBdr>
          <w:top w:val="nil"/>
          <w:left w:val="nil"/>
          <w:bottom w:val="nil"/>
          <w:right w:val="nil"/>
          <w:between w:val="nil"/>
        </w:pBdr>
        <w:spacing w:after="0" w:line="240" w:lineRule="auto"/>
        <w:rPr>
          <w:rFonts w:ascii="Calibri" w:eastAsia="Times New Roman" w:hAnsi="Calibri" w:cs="Calibri"/>
          <w:color w:val="000000"/>
        </w:rPr>
      </w:pPr>
    </w:p>
    <w:p w14:paraId="734DA333" w14:textId="657FC7FD" w:rsidR="00FB66AE" w:rsidRPr="006D5DED" w:rsidRDefault="00750BDB" w:rsidP="005001B5">
      <w:pPr>
        <w:pBdr>
          <w:top w:val="nil"/>
          <w:left w:val="nil"/>
          <w:bottom w:val="nil"/>
          <w:right w:val="nil"/>
          <w:between w:val="nil"/>
        </w:pBdr>
        <w:spacing w:after="0" w:line="240" w:lineRule="auto"/>
        <w:rPr>
          <w:rFonts w:ascii="Calibri" w:eastAsia="Times New Roman" w:hAnsi="Calibri" w:cs="Calibri"/>
          <w:color w:val="000000"/>
        </w:rPr>
      </w:pPr>
      <w:r w:rsidRPr="006D5DED">
        <w:rPr>
          <w:rFonts w:ascii="Calibri" w:eastAsia="Times New Roman" w:hAnsi="Calibri" w:cs="Calibri"/>
          <w:color w:val="000000"/>
        </w:rPr>
        <w:t>American College of Clinical Pharmacy.  Key state</w:t>
      </w:r>
      <w:r w:rsidR="0053489D" w:rsidRPr="006D5DED">
        <w:rPr>
          <w:rFonts w:ascii="Calibri" w:eastAsia="Times New Roman" w:hAnsi="Calibri" w:cs="Calibri"/>
          <w:color w:val="000000"/>
        </w:rPr>
        <w:t xml:space="preserve">-level policy elements governing pharmacist collaborative practice.  J A Coll Clin Pharm.  </w:t>
      </w:r>
      <w:proofErr w:type="gramStart"/>
      <w:r w:rsidR="0066690A" w:rsidRPr="006D5DED">
        <w:rPr>
          <w:rFonts w:ascii="Calibri" w:eastAsia="Times New Roman" w:hAnsi="Calibri" w:cs="Calibri"/>
          <w:color w:val="000000"/>
        </w:rPr>
        <w:t>2022;5:725</w:t>
      </w:r>
      <w:proofErr w:type="gramEnd"/>
      <w:r w:rsidR="0066690A" w:rsidRPr="006D5DED">
        <w:rPr>
          <w:rFonts w:ascii="Calibri" w:eastAsia="Times New Roman" w:hAnsi="Calibri" w:cs="Calibri"/>
          <w:color w:val="000000"/>
        </w:rPr>
        <w:t>-728.</w:t>
      </w:r>
      <w:r w:rsidR="005001B5" w:rsidRPr="006D5DED">
        <w:rPr>
          <w:rFonts w:ascii="Calibri" w:eastAsia="Times New Roman" w:hAnsi="Calibri" w:cs="Calibri"/>
          <w:color w:val="000000"/>
        </w:rPr>
        <w:t xml:space="preserve"> Available from: </w:t>
      </w:r>
      <w:hyperlink r:id="rId10" w:history="1">
        <w:r w:rsidR="005001B5" w:rsidRPr="006D5DED">
          <w:rPr>
            <w:rStyle w:val="Hyperlink"/>
            <w:rFonts w:ascii="Calibri" w:eastAsia="Times New Roman" w:hAnsi="Calibri" w:cs="Calibri"/>
          </w:rPr>
          <w:t>https://www.accp.com/docs/positions/Commentaries/JACCP___JOURNAL_OF_THE_AMERICAN_COLLEGE_OF_CLINICAL_PHARMACY_-_2022_-__-_Key_state%E2%80%90level_policy_elements_governing.pdf</w:t>
        </w:r>
      </w:hyperlink>
      <w:r w:rsidR="005001B5" w:rsidRPr="006D5DED">
        <w:rPr>
          <w:rFonts w:ascii="Calibri" w:eastAsia="Times New Roman" w:hAnsi="Calibri" w:cs="Calibri"/>
          <w:color w:val="000000"/>
        </w:rPr>
        <w:t xml:space="preserve">.  Accessed </w:t>
      </w:r>
      <w:r w:rsidR="000E696C" w:rsidRPr="006D5DED">
        <w:rPr>
          <w:rFonts w:ascii="Calibri" w:eastAsia="Times New Roman" w:hAnsi="Calibri" w:cs="Calibri"/>
          <w:color w:val="000000"/>
        </w:rPr>
        <w:t>September 25, 2025.</w:t>
      </w:r>
      <w:r w:rsidR="005001B5" w:rsidRPr="006D5DED">
        <w:rPr>
          <w:rFonts w:ascii="Calibri" w:eastAsia="Times New Roman" w:hAnsi="Calibri" w:cs="Calibri"/>
          <w:color w:val="000000"/>
        </w:rPr>
        <w:t xml:space="preserve">  </w:t>
      </w:r>
    </w:p>
    <w:p w14:paraId="61BAB6DA" w14:textId="77777777" w:rsidR="0066690A" w:rsidRPr="006D5DED" w:rsidRDefault="0066690A" w:rsidP="007860C4">
      <w:pPr>
        <w:pBdr>
          <w:top w:val="nil"/>
          <w:left w:val="nil"/>
          <w:bottom w:val="nil"/>
          <w:right w:val="nil"/>
          <w:between w:val="nil"/>
        </w:pBdr>
        <w:spacing w:after="0" w:line="240" w:lineRule="auto"/>
        <w:jc w:val="both"/>
        <w:rPr>
          <w:rFonts w:ascii="Calibri" w:eastAsia="Times New Roman" w:hAnsi="Calibri" w:cs="Calibri"/>
          <w:color w:val="000000"/>
        </w:rPr>
      </w:pPr>
    </w:p>
    <w:p w14:paraId="3246A86C" w14:textId="7681220A" w:rsidR="002363C4" w:rsidRPr="006D5DED" w:rsidRDefault="002363C4" w:rsidP="007860C4">
      <w:pPr>
        <w:pBdr>
          <w:top w:val="nil"/>
          <w:left w:val="nil"/>
          <w:bottom w:val="nil"/>
          <w:right w:val="nil"/>
          <w:between w:val="nil"/>
        </w:pBdr>
        <w:spacing w:after="0" w:line="240" w:lineRule="auto"/>
        <w:jc w:val="both"/>
        <w:rPr>
          <w:rFonts w:ascii="Calibri" w:eastAsia="Times New Roman" w:hAnsi="Calibri" w:cs="Calibri"/>
          <w:color w:val="000000"/>
        </w:rPr>
      </w:pPr>
      <w:r w:rsidRPr="006D5DED">
        <w:rPr>
          <w:rFonts w:ascii="Calibri" w:eastAsia="Times New Roman" w:hAnsi="Calibri" w:cs="Calibri"/>
          <w:color w:val="000000"/>
        </w:rPr>
        <w:t>Collaborative practice agreements in outpatient team-based clinical pharmacy practice.  American College of Clinical Pharmacy</w:t>
      </w:r>
      <w:r w:rsidR="00BB6E3D" w:rsidRPr="006D5DED">
        <w:rPr>
          <w:rFonts w:ascii="Calibri" w:eastAsia="Times New Roman" w:hAnsi="Calibri" w:cs="Calibri"/>
          <w:color w:val="000000"/>
        </w:rPr>
        <w:t xml:space="preserve"> </w:t>
      </w:r>
      <w:r w:rsidRPr="006D5DED">
        <w:rPr>
          <w:rFonts w:ascii="Calibri" w:eastAsia="Times New Roman" w:hAnsi="Calibri" w:cs="Calibri"/>
          <w:color w:val="000000"/>
        </w:rPr>
        <w:t xml:space="preserve">Practice Advancement Issue Brief.  </w:t>
      </w:r>
      <w:r w:rsidR="00EA78BB" w:rsidRPr="006D5DED">
        <w:rPr>
          <w:rFonts w:ascii="Calibri" w:eastAsia="Times New Roman" w:hAnsi="Calibri" w:cs="Calibri"/>
          <w:color w:val="000000"/>
        </w:rPr>
        <w:t>July 2015.  Available from:</w:t>
      </w:r>
      <w:r w:rsidR="00EA78BB" w:rsidRPr="006D5DED">
        <w:rPr>
          <w:rFonts w:ascii="Calibri" w:hAnsi="Calibri" w:cs="Calibri"/>
        </w:rPr>
        <w:t xml:space="preserve"> </w:t>
      </w:r>
      <w:hyperlink r:id="rId11" w:history="1">
        <w:r w:rsidR="00742E46">
          <w:rPr>
            <w:rStyle w:val="Hyperlink"/>
            <w:rFonts w:ascii="Calibri" w:eastAsia="Times New Roman" w:hAnsi="Calibri" w:cs="Calibri"/>
          </w:rPr>
          <w:t>https://www.accp.com/docs/positions/misc/IB2CPA-ACCPPracticeAdvancement.pdf</w:t>
        </w:r>
      </w:hyperlink>
      <w:r w:rsidR="00742E46">
        <w:rPr>
          <w:rFonts w:ascii="Calibri" w:eastAsia="Times New Roman" w:hAnsi="Calibri" w:cs="Calibri"/>
          <w:color w:val="000000"/>
        </w:rPr>
        <w:t xml:space="preserve">. </w:t>
      </w:r>
      <w:r w:rsidR="00E80407" w:rsidRPr="006D5DED">
        <w:rPr>
          <w:rFonts w:ascii="Calibri" w:eastAsia="Times New Roman" w:hAnsi="Calibri" w:cs="Calibri"/>
          <w:color w:val="000000"/>
        </w:rPr>
        <w:t xml:space="preserve">Accessed September 25, 2025.  </w:t>
      </w:r>
      <w:r w:rsidR="000E696C" w:rsidRPr="006D5DED">
        <w:rPr>
          <w:rFonts w:ascii="Calibri" w:eastAsia="Times New Roman" w:hAnsi="Calibri" w:cs="Calibri"/>
          <w:color w:val="000000"/>
        </w:rPr>
        <w:t xml:space="preserve"> </w:t>
      </w:r>
    </w:p>
    <w:p w14:paraId="3B6CF60F" w14:textId="77777777" w:rsidR="00E6402C" w:rsidRPr="006D5DED" w:rsidRDefault="00E6402C" w:rsidP="007860C4">
      <w:pPr>
        <w:autoSpaceDE w:val="0"/>
        <w:autoSpaceDN w:val="0"/>
        <w:adjustRightInd w:val="0"/>
        <w:spacing w:after="0" w:line="240" w:lineRule="auto"/>
        <w:ind w:left="-360"/>
        <w:rPr>
          <w:rFonts w:ascii="Calibri" w:hAnsi="Calibri" w:cs="Calibri"/>
          <w:color w:val="000000"/>
          <w:kern w:val="0"/>
        </w:rPr>
      </w:pPr>
    </w:p>
    <w:p w14:paraId="04761701" w14:textId="77777777" w:rsidR="0019590C" w:rsidRPr="006D5DED" w:rsidRDefault="0019590C" w:rsidP="0019590C">
      <w:pPr>
        <w:autoSpaceDE w:val="0"/>
        <w:autoSpaceDN w:val="0"/>
        <w:adjustRightInd w:val="0"/>
        <w:spacing w:after="0" w:line="240" w:lineRule="auto"/>
        <w:rPr>
          <w:rFonts w:ascii="Calibri" w:hAnsi="Calibri" w:cs="Calibri"/>
          <w:color w:val="000000"/>
          <w:kern w:val="0"/>
        </w:rPr>
      </w:pPr>
      <w:r w:rsidRPr="006D5DED">
        <w:rPr>
          <w:rFonts w:ascii="Calibri" w:hAnsi="Calibri" w:cs="Calibri"/>
          <w:color w:val="000000"/>
          <w:kern w:val="0"/>
        </w:rPr>
        <w:t>Evoy KE, ed. ACCP Ambulatory Care Pharmacist’s Survival Guide Fifth Edition. Lenexa, KS: American College of Clinical Pharmacy, 2024.</w:t>
      </w:r>
    </w:p>
    <w:p w14:paraId="2F52543B" w14:textId="77777777" w:rsidR="0019590C" w:rsidRPr="006D5DED" w:rsidRDefault="0019590C" w:rsidP="007860C4">
      <w:pPr>
        <w:autoSpaceDE w:val="0"/>
        <w:autoSpaceDN w:val="0"/>
        <w:adjustRightInd w:val="0"/>
        <w:spacing w:after="0" w:line="240" w:lineRule="auto"/>
        <w:rPr>
          <w:rFonts w:ascii="Calibri" w:hAnsi="Calibri" w:cs="Calibri"/>
          <w:color w:val="000000"/>
          <w:kern w:val="0"/>
        </w:rPr>
      </w:pPr>
    </w:p>
    <w:p w14:paraId="69B40CE1" w14:textId="07A22527" w:rsidR="00E6402C" w:rsidRPr="006D5DED" w:rsidRDefault="00E6402C" w:rsidP="007860C4">
      <w:pPr>
        <w:autoSpaceDE w:val="0"/>
        <w:autoSpaceDN w:val="0"/>
        <w:adjustRightInd w:val="0"/>
        <w:spacing w:after="0" w:line="240" w:lineRule="auto"/>
        <w:rPr>
          <w:rFonts w:ascii="Calibri" w:hAnsi="Calibri" w:cs="Calibri"/>
          <w:color w:val="000000"/>
          <w:kern w:val="0"/>
        </w:rPr>
      </w:pPr>
      <w:r w:rsidRPr="006D5DED">
        <w:rPr>
          <w:rFonts w:ascii="Calibri" w:hAnsi="Calibri" w:cs="Calibri"/>
          <w:color w:val="000000"/>
          <w:kern w:val="0"/>
        </w:rPr>
        <w:t xml:space="preserve">McBane SE, </w:t>
      </w:r>
      <w:proofErr w:type="spellStart"/>
      <w:r w:rsidRPr="006D5DED">
        <w:rPr>
          <w:rFonts w:ascii="Calibri" w:hAnsi="Calibri" w:cs="Calibri"/>
          <w:color w:val="000000"/>
          <w:kern w:val="0"/>
        </w:rPr>
        <w:t>Legreid</w:t>
      </w:r>
      <w:proofErr w:type="spellEnd"/>
      <w:r w:rsidRPr="006D5DED">
        <w:rPr>
          <w:rFonts w:ascii="Calibri" w:hAnsi="Calibri" w:cs="Calibri"/>
          <w:color w:val="000000"/>
          <w:kern w:val="0"/>
        </w:rPr>
        <w:t xml:space="preserve"> Dopp S, Abe A, et al. Collaborative drug therapy management and comprehensive medication management―2015.</w:t>
      </w:r>
      <w:r w:rsidR="005A2DC2" w:rsidRPr="006D5DED">
        <w:rPr>
          <w:rFonts w:ascii="Calibri" w:hAnsi="Calibri" w:cs="Calibri"/>
          <w:color w:val="000000"/>
          <w:kern w:val="0"/>
        </w:rPr>
        <w:t xml:space="preserve"> </w:t>
      </w:r>
      <w:r w:rsidRPr="006D5DED">
        <w:rPr>
          <w:rFonts w:ascii="Calibri" w:hAnsi="Calibri" w:cs="Calibri"/>
          <w:color w:val="000000"/>
          <w:kern w:val="0"/>
        </w:rPr>
        <w:t>Pharmacotherapy 2015;</w:t>
      </w:r>
      <w:proofErr w:type="gramStart"/>
      <w:r w:rsidRPr="006D5DED">
        <w:rPr>
          <w:rFonts w:ascii="Calibri" w:hAnsi="Calibri" w:cs="Calibri"/>
          <w:color w:val="000000"/>
          <w:kern w:val="0"/>
        </w:rPr>
        <w:t>35:e</w:t>
      </w:r>
      <w:proofErr w:type="gramEnd"/>
      <w:r w:rsidRPr="006D5DED">
        <w:rPr>
          <w:rFonts w:ascii="Calibri" w:hAnsi="Calibri" w:cs="Calibri"/>
          <w:color w:val="000000"/>
          <w:kern w:val="0"/>
        </w:rPr>
        <w:t>39–e50. Available from</w:t>
      </w:r>
      <w:r w:rsidR="00084543" w:rsidRPr="006D5DED">
        <w:rPr>
          <w:rFonts w:ascii="Calibri" w:hAnsi="Calibri" w:cs="Calibri"/>
          <w:color w:val="000000"/>
          <w:kern w:val="0"/>
        </w:rPr>
        <w:t>:</w:t>
      </w:r>
      <w:r w:rsidRPr="006D5DED">
        <w:rPr>
          <w:rFonts w:ascii="Calibri" w:hAnsi="Calibri" w:cs="Calibri"/>
          <w:color w:val="000000"/>
          <w:kern w:val="0"/>
        </w:rPr>
        <w:t xml:space="preserve"> </w:t>
      </w:r>
      <w:hyperlink r:id="rId12" w:history="1">
        <w:r w:rsidR="00862CB7" w:rsidRPr="00742E46">
          <w:rPr>
            <w:rStyle w:val="Hyperlink"/>
            <w:rFonts w:ascii="Calibri" w:hAnsi="Calibri" w:cs="Calibri"/>
            <w:kern w:val="0"/>
          </w:rPr>
          <w:t>https://www.accp.com/docs/positions/whitePapers/CDTM%20CMM%202015%20Final.pdf</w:t>
        </w:r>
      </w:hyperlink>
      <w:r w:rsidRPr="006D5DED">
        <w:rPr>
          <w:rFonts w:ascii="Calibri" w:hAnsi="Calibri" w:cs="Calibri"/>
          <w:color w:val="000000"/>
          <w:kern w:val="0"/>
        </w:rPr>
        <w:t xml:space="preserve">. </w:t>
      </w:r>
      <w:r w:rsidR="00E80407" w:rsidRPr="006D5DED">
        <w:rPr>
          <w:rFonts w:ascii="Calibri" w:hAnsi="Calibri" w:cs="Calibri"/>
          <w:color w:val="000000"/>
          <w:kern w:val="0"/>
        </w:rPr>
        <w:t xml:space="preserve">Accessed September 25, 2025.  </w:t>
      </w:r>
      <w:r w:rsidR="008D6B40" w:rsidRPr="006D5DED">
        <w:rPr>
          <w:rFonts w:ascii="Calibri" w:hAnsi="Calibri" w:cs="Calibri"/>
          <w:color w:val="000000"/>
          <w:kern w:val="0"/>
        </w:rPr>
        <w:t xml:space="preserve">  </w:t>
      </w:r>
    </w:p>
    <w:p w14:paraId="60810633" w14:textId="77777777" w:rsidR="00483567" w:rsidRPr="006D5DED" w:rsidRDefault="00483567" w:rsidP="007860C4">
      <w:pPr>
        <w:autoSpaceDE w:val="0"/>
        <w:autoSpaceDN w:val="0"/>
        <w:adjustRightInd w:val="0"/>
        <w:spacing w:after="0" w:line="240" w:lineRule="auto"/>
        <w:rPr>
          <w:rFonts w:ascii="Calibri" w:hAnsi="Calibri" w:cs="Calibri"/>
          <w:color w:val="000000"/>
          <w:kern w:val="0"/>
        </w:rPr>
      </w:pPr>
    </w:p>
    <w:p w14:paraId="5927B27D" w14:textId="375AB74E" w:rsidR="00371DAF" w:rsidRPr="006D5DED" w:rsidRDefault="00483567" w:rsidP="007860C4">
      <w:pPr>
        <w:autoSpaceDE w:val="0"/>
        <w:autoSpaceDN w:val="0"/>
        <w:adjustRightInd w:val="0"/>
        <w:spacing w:after="0" w:line="240" w:lineRule="auto"/>
        <w:rPr>
          <w:rFonts w:ascii="Calibri" w:hAnsi="Calibri" w:cs="Calibri"/>
          <w:color w:val="0000FF"/>
          <w:kern w:val="0"/>
        </w:rPr>
      </w:pPr>
      <w:r w:rsidRPr="006D5DED">
        <w:rPr>
          <w:rFonts w:ascii="Calibri" w:hAnsi="Calibri" w:cs="Calibri"/>
          <w:color w:val="000000"/>
          <w:kern w:val="0"/>
        </w:rPr>
        <w:t>National Alliance of State Pharmacy Associations/National Association</w:t>
      </w:r>
      <w:r w:rsidR="00FB564A" w:rsidRPr="006D5DED">
        <w:rPr>
          <w:rFonts w:ascii="Calibri" w:hAnsi="Calibri" w:cs="Calibri"/>
          <w:color w:val="000000"/>
          <w:kern w:val="0"/>
        </w:rPr>
        <w:t xml:space="preserve"> </w:t>
      </w:r>
      <w:r w:rsidRPr="006D5DED">
        <w:rPr>
          <w:rFonts w:ascii="Calibri" w:hAnsi="Calibri" w:cs="Calibri"/>
          <w:color w:val="000000"/>
          <w:kern w:val="0"/>
        </w:rPr>
        <w:t>of Boards of Pharmacy (NASPA/NABP). Pharmacist statewide</w:t>
      </w:r>
      <w:r w:rsidR="00BB6E3D" w:rsidRPr="006D5DED">
        <w:rPr>
          <w:rFonts w:ascii="Calibri" w:hAnsi="Calibri" w:cs="Calibri"/>
          <w:color w:val="000000"/>
          <w:kern w:val="0"/>
        </w:rPr>
        <w:t xml:space="preserve"> </w:t>
      </w:r>
      <w:r w:rsidRPr="006D5DED">
        <w:rPr>
          <w:rFonts w:ascii="Calibri" w:hAnsi="Calibri" w:cs="Calibri"/>
          <w:color w:val="000000"/>
          <w:kern w:val="0"/>
        </w:rPr>
        <w:t>protocols: key elements for legislative and regulatory authority. March</w:t>
      </w:r>
      <w:r w:rsidR="00FB564A" w:rsidRPr="006D5DED">
        <w:rPr>
          <w:rFonts w:ascii="Calibri" w:hAnsi="Calibri" w:cs="Calibri"/>
          <w:color w:val="000000"/>
          <w:kern w:val="0"/>
        </w:rPr>
        <w:t xml:space="preserve"> </w:t>
      </w:r>
      <w:r w:rsidRPr="006D5DED">
        <w:rPr>
          <w:rFonts w:ascii="Calibri" w:hAnsi="Calibri" w:cs="Calibri"/>
          <w:color w:val="000000"/>
          <w:kern w:val="0"/>
        </w:rPr>
        <w:t>2017.</w:t>
      </w:r>
      <w:r w:rsidR="00084543" w:rsidRPr="006D5DED">
        <w:rPr>
          <w:rFonts w:ascii="Calibri" w:hAnsi="Calibri" w:cs="Calibri"/>
          <w:color w:val="000000"/>
          <w:kern w:val="0"/>
        </w:rPr>
        <w:t xml:space="preserve"> Available from: </w:t>
      </w:r>
      <w:r w:rsidRPr="006D5DED">
        <w:rPr>
          <w:rFonts w:ascii="Calibri" w:hAnsi="Calibri" w:cs="Calibri"/>
          <w:color w:val="000000"/>
          <w:kern w:val="0"/>
        </w:rPr>
        <w:t xml:space="preserve"> </w:t>
      </w:r>
      <w:hyperlink r:id="rId13" w:history="1">
        <w:r w:rsidR="00371DAF" w:rsidRPr="006D5DED">
          <w:rPr>
            <w:rStyle w:val="Hyperlink"/>
            <w:rFonts w:ascii="Calibri" w:hAnsi="Calibri" w:cs="Calibri"/>
            <w:kern w:val="0"/>
          </w:rPr>
          <w:t>https://naspa.us/wp-content/uploads/2017/03/Pharmacist-Statewide-Protocols-Key-Elements-for-Legislative-and-Regulatory-Authority.pdf</w:t>
        </w:r>
      </w:hyperlink>
      <w:r w:rsidR="00E80407" w:rsidRPr="006D5DED">
        <w:rPr>
          <w:rFonts w:ascii="Calibri" w:hAnsi="Calibri" w:cs="Calibri"/>
        </w:rPr>
        <w:t xml:space="preserve"> Accessed September 25, 2025.  </w:t>
      </w:r>
    </w:p>
    <w:p w14:paraId="43B7FB1C" w14:textId="77777777" w:rsidR="00371DAF" w:rsidRDefault="00371DAF" w:rsidP="007860C4">
      <w:pPr>
        <w:autoSpaceDE w:val="0"/>
        <w:autoSpaceDN w:val="0"/>
        <w:adjustRightInd w:val="0"/>
        <w:spacing w:after="0" w:line="240" w:lineRule="auto"/>
        <w:rPr>
          <w:rFonts w:cstheme="minorHAnsi"/>
          <w:color w:val="000000"/>
          <w:kern w:val="0"/>
          <w:sz w:val="18"/>
          <w:szCs w:val="18"/>
        </w:rPr>
      </w:pPr>
    </w:p>
    <w:p w14:paraId="5F2C2C69" w14:textId="53D6CDF1" w:rsidR="00C90A85" w:rsidRDefault="00C90A85">
      <w:pPr>
        <w:rPr>
          <w:rFonts w:cstheme="minorHAnsi"/>
          <w:color w:val="000000"/>
          <w:kern w:val="0"/>
          <w:sz w:val="18"/>
          <w:szCs w:val="18"/>
        </w:rPr>
      </w:pPr>
      <w:r>
        <w:rPr>
          <w:rFonts w:cstheme="minorHAnsi"/>
          <w:color w:val="000000"/>
          <w:kern w:val="0"/>
          <w:sz w:val="18"/>
          <w:szCs w:val="18"/>
        </w:rPr>
        <w:br w:type="page"/>
      </w:r>
    </w:p>
    <w:p w14:paraId="2158600C" w14:textId="77777777" w:rsidR="00C90A85" w:rsidRPr="00960BC6" w:rsidRDefault="00C90A85" w:rsidP="00C90A85">
      <w:pPr>
        <w:autoSpaceDE w:val="0"/>
        <w:autoSpaceDN w:val="0"/>
        <w:adjustRightInd w:val="0"/>
        <w:spacing w:after="0" w:line="240" w:lineRule="auto"/>
        <w:rPr>
          <w:rFonts w:ascii="Times New Roman" w:hAnsi="Times New Roman" w:cs="Times New Roman"/>
          <w:b/>
          <w:bCs/>
          <w:color w:val="000000"/>
          <w:kern w:val="0"/>
          <w:sz w:val="24"/>
          <w:szCs w:val="24"/>
        </w:rPr>
      </w:pPr>
      <w:r w:rsidRPr="00960BC6">
        <w:rPr>
          <w:rFonts w:ascii="Times New Roman" w:hAnsi="Times New Roman" w:cs="Times New Roman"/>
          <w:b/>
          <w:bCs/>
          <w:color w:val="000000"/>
          <w:kern w:val="0"/>
          <w:sz w:val="24"/>
          <w:szCs w:val="24"/>
        </w:rPr>
        <w:lastRenderedPageBreak/>
        <w:t>Acknowledgements</w:t>
      </w:r>
    </w:p>
    <w:p w14:paraId="56697D22" w14:textId="35DB7EA4" w:rsidR="00C90A85" w:rsidRPr="00B07DB0" w:rsidRDefault="008B4983" w:rsidP="008B2B56">
      <w:pPr>
        <w:rPr>
          <w:rFonts w:ascii="Times New Roman" w:hAnsi="Times New Roman" w:cs="Times New Roman"/>
          <w:sz w:val="24"/>
          <w:szCs w:val="24"/>
        </w:rPr>
      </w:pPr>
      <w:r w:rsidRPr="00B07DB0">
        <w:rPr>
          <w:rFonts w:ascii="Times New Roman" w:hAnsi="Times New Roman" w:cs="Times New Roman"/>
          <w:sz w:val="24"/>
          <w:szCs w:val="24"/>
        </w:rPr>
        <w:t xml:space="preserve">ACCP gratefully acknowledges the contributions of our reviewers— Kirk E. Evoy, </w:t>
      </w:r>
      <w:proofErr w:type="gramStart"/>
      <w:r w:rsidRPr="00B07DB0">
        <w:rPr>
          <w:rFonts w:ascii="Times New Roman" w:hAnsi="Times New Roman" w:cs="Times New Roman"/>
          <w:sz w:val="24"/>
          <w:szCs w:val="24"/>
        </w:rPr>
        <w:t>Pharm</w:t>
      </w:r>
      <w:proofErr w:type="gramEnd"/>
      <w:r w:rsidRPr="00B07DB0">
        <w:rPr>
          <w:rFonts w:ascii="Times New Roman" w:hAnsi="Times New Roman" w:cs="Times New Roman"/>
          <w:sz w:val="24"/>
          <w:szCs w:val="24"/>
        </w:rPr>
        <w:t xml:space="preserve">.D., FCCP, FTSHP, BCACP, BC-ADM, CTTS; Christine Schumacher, </w:t>
      </w:r>
      <w:proofErr w:type="gramStart"/>
      <w:r w:rsidRPr="00B07DB0">
        <w:rPr>
          <w:rFonts w:ascii="Times New Roman" w:hAnsi="Times New Roman" w:cs="Times New Roman"/>
          <w:sz w:val="24"/>
          <w:szCs w:val="24"/>
        </w:rPr>
        <w:t>Pharm</w:t>
      </w:r>
      <w:proofErr w:type="gramEnd"/>
      <w:r w:rsidRPr="00B07DB0">
        <w:rPr>
          <w:rFonts w:ascii="Times New Roman" w:hAnsi="Times New Roman" w:cs="Times New Roman"/>
          <w:sz w:val="24"/>
          <w:szCs w:val="24"/>
        </w:rPr>
        <w:t xml:space="preserve">.D., FCCP, BCPS, BCACP, BCCP, BCADM, CDCES; Ryan J. Wargo, </w:t>
      </w:r>
      <w:proofErr w:type="gramStart"/>
      <w:r w:rsidRPr="00B07DB0">
        <w:rPr>
          <w:rFonts w:ascii="Times New Roman" w:hAnsi="Times New Roman" w:cs="Times New Roman"/>
          <w:sz w:val="24"/>
          <w:szCs w:val="24"/>
        </w:rPr>
        <w:t>Pharm</w:t>
      </w:r>
      <w:proofErr w:type="gramEnd"/>
      <w:r w:rsidRPr="00B07DB0">
        <w:rPr>
          <w:rFonts w:ascii="Times New Roman" w:hAnsi="Times New Roman" w:cs="Times New Roman"/>
          <w:sz w:val="24"/>
          <w:szCs w:val="24"/>
        </w:rPr>
        <w:t>.D., BCCACP</w:t>
      </w:r>
      <w:r w:rsidR="009A3CE3">
        <w:rPr>
          <w:rFonts w:ascii="Times New Roman" w:hAnsi="Times New Roman" w:cs="Times New Roman"/>
          <w:sz w:val="24"/>
          <w:szCs w:val="24"/>
        </w:rPr>
        <w:t xml:space="preserve">; and Sarah </w:t>
      </w:r>
      <w:r w:rsidR="00F83AD0">
        <w:rPr>
          <w:rFonts w:ascii="Times New Roman" w:hAnsi="Times New Roman" w:cs="Times New Roman"/>
          <w:sz w:val="24"/>
          <w:szCs w:val="24"/>
        </w:rPr>
        <w:t xml:space="preserve">M. </w:t>
      </w:r>
      <w:r w:rsidR="009A3CE3">
        <w:rPr>
          <w:rFonts w:ascii="Times New Roman" w:hAnsi="Times New Roman" w:cs="Times New Roman"/>
          <w:sz w:val="24"/>
          <w:szCs w:val="24"/>
        </w:rPr>
        <w:t>Westberg</w:t>
      </w:r>
      <w:r w:rsidR="00AE1F8D">
        <w:rPr>
          <w:rFonts w:ascii="Times New Roman" w:hAnsi="Times New Roman" w:cs="Times New Roman"/>
          <w:sz w:val="24"/>
          <w:szCs w:val="24"/>
        </w:rPr>
        <w:t>, Pharm.D., FCCP, BCPS</w:t>
      </w:r>
    </w:p>
    <w:p w14:paraId="27F253D9" w14:textId="77777777" w:rsidR="00C90A85" w:rsidRPr="00B07DB0" w:rsidRDefault="00C90A85" w:rsidP="00C90A85">
      <w:pPr>
        <w:autoSpaceDE w:val="0"/>
        <w:autoSpaceDN w:val="0"/>
        <w:adjustRightInd w:val="0"/>
        <w:spacing w:after="0" w:line="240" w:lineRule="auto"/>
        <w:rPr>
          <w:rFonts w:ascii="Times New Roman" w:hAnsi="Times New Roman" w:cs="Times New Roman"/>
          <w:color w:val="000000"/>
          <w:kern w:val="0"/>
          <w:sz w:val="24"/>
          <w:szCs w:val="24"/>
        </w:rPr>
      </w:pPr>
    </w:p>
    <w:p w14:paraId="6B6AD2B8" w14:textId="4B4CAC12" w:rsidR="00BB5091" w:rsidRPr="00960BC6" w:rsidRDefault="00BB5091" w:rsidP="00BB5091">
      <w:pPr>
        <w:autoSpaceDE w:val="0"/>
        <w:autoSpaceDN w:val="0"/>
        <w:adjustRightInd w:val="0"/>
        <w:spacing w:after="0" w:line="240" w:lineRule="auto"/>
        <w:rPr>
          <w:rFonts w:ascii="Times New Roman" w:hAnsi="Times New Roman" w:cs="Times New Roman"/>
          <w:b/>
          <w:bCs/>
          <w:color w:val="000000"/>
          <w:kern w:val="0"/>
          <w:sz w:val="24"/>
          <w:szCs w:val="24"/>
        </w:rPr>
      </w:pPr>
      <w:r w:rsidRPr="00960BC6">
        <w:rPr>
          <w:rFonts w:ascii="Times New Roman" w:hAnsi="Times New Roman" w:cs="Times New Roman"/>
          <w:b/>
          <w:bCs/>
          <w:color w:val="000000"/>
          <w:kern w:val="0"/>
          <w:sz w:val="24"/>
          <w:szCs w:val="24"/>
        </w:rPr>
        <w:t>Disclaimer</w:t>
      </w:r>
    </w:p>
    <w:p w14:paraId="1E7BD6AD" w14:textId="1AAC95D7" w:rsidR="00BB5091" w:rsidRPr="00B07DB0" w:rsidRDefault="00BB5091" w:rsidP="00BB5091">
      <w:pPr>
        <w:autoSpaceDE w:val="0"/>
        <w:autoSpaceDN w:val="0"/>
        <w:adjustRightInd w:val="0"/>
        <w:spacing w:after="0" w:line="240" w:lineRule="auto"/>
        <w:rPr>
          <w:rFonts w:ascii="Times New Roman" w:hAnsi="Times New Roman" w:cs="Times New Roman"/>
          <w:color w:val="000000"/>
          <w:kern w:val="0"/>
          <w:sz w:val="24"/>
          <w:szCs w:val="24"/>
        </w:rPr>
      </w:pPr>
      <w:r w:rsidRPr="00B07DB0">
        <w:rPr>
          <w:rFonts w:ascii="Times New Roman" w:hAnsi="Times New Roman" w:cs="Times New Roman"/>
          <w:color w:val="000000"/>
          <w:kern w:val="0"/>
          <w:sz w:val="24"/>
          <w:szCs w:val="24"/>
        </w:rPr>
        <w:t>This Collaborative Practice Agreement (CPA) template is provided by ACCP as a general example and not intended to constitute legal advice, nor does it create an attorney-client relationship between the user and ACCP. ACCP makes no representations or warranties, express or implied, regarding the accuracy, completeness, or suitability of this template for any particular purpose. Users are solely responsible for ensuring that any CPA they adopt complies with applicable federal, state, and local laws, including professional licensing and scope-of-practice regulations.</w:t>
      </w:r>
    </w:p>
    <w:p w14:paraId="680BCA0F" w14:textId="77777777" w:rsidR="00C90A85" w:rsidRPr="00B07DB0" w:rsidRDefault="00C90A85" w:rsidP="00C90A85">
      <w:pPr>
        <w:autoSpaceDE w:val="0"/>
        <w:autoSpaceDN w:val="0"/>
        <w:adjustRightInd w:val="0"/>
        <w:spacing w:after="0" w:line="240" w:lineRule="auto"/>
        <w:rPr>
          <w:rFonts w:ascii="Times New Roman" w:hAnsi="Times New Roman" w:cs="Times New Roman"/>
          <w:color w:val="000000"/>
          <w:kern w:val="0"/>
          <w:sz w:val="24"/>
          <w:szCs w:val="24"/>
        </w:rPr>
      </w:pPr>
    </w:p>
    <w:p w14:paraId="414FED11" w14:textId="77777777" w:rsidR="00C90A85" w:rsidRPr="00B07DB0" w:rsidRDefault="00C90A85" w:rsidP="00C90A85">
      <w:pPr>
        <w:autoSpaceDE w:val="0"/>
        <w:autoSpaceDN w:val="0"/>
        <w:adjustRightInd w:val="0"/>
        <w:spacing w:after="0" w:line="240" w:lineRule="auto"/>
        <w:rPr>
          <w:rFonts w:ascii="Times New Roman" w:hAnsi="Times New Roman" w:cs="Times New Roman"/>
          <w:color w:val="000000"/>
          <w:kern w:val="0"/>
          <w:sz w:val="24"/>
          <w:szCs w:val="24"/>
        </w:rPr>
      </w:pPr>
    </w:p>
    <w:p w14:paraId="32468BAE" w14:textId="77777777" w:rsidR="00C90A85" w:rsidRPr="00960BC6" w:rsidRDefault="00C90A85" w:rsidP="00C90A85">
      <w:pPr>
        <w:autoSpaceDE w:val="0"/>
        <w:autoSpaceDN w:val="0"/>
        <w:adjustRightInd w:val="0"/>
        <w:spacing w:after="0" w:line="240" w:lineRule="auto"/>
        <w:rPr>
          <w:rFonts w:ascii="Times New Roman" w:hAnsi="Times New Roman" w:cs="Times New Roman"/>
          <w:b/>
          <w:bCs/>
          <w:color w:val="000000"/>
          <w:kern w:val="0"/>
          <w:sz w:val="24"/>
          <w:szCs w:val="24"/>
        </w:rPr>
      </w:pPr>
      <w:r w:rsidRPr="00960BC6">
        <w:rPr>
          <w:rFonts w:ascii="Times New Roman" w:hAnsi="Times New Roman" w:cs="Times New Roman"/>
          <w:b/>
          <w:bCs/>
          <w:color w:val="000000"/>
          <w:kern w:val="0"/>
          <w:sz w:val="24"/>
          <w:szCs w:val="24"/>
        </w:rPr>
        <w:t>Copyright and Use</w:t>
      </w:r>
    </w:p>
    <w:p w14:paraId="57695845" w14:textId="77777777" w:rsidR="00C90A85" w:rsidRPr="00B07DB0" w:rsidRDefault="00C90A85" w:rsidP="00C90A85">
      <w:pPr>
        <w:autoSpaceDE w:val="0"/>
        <w:autoSpaceDN w:val="0"/>
        <w:adjustRightInd w:val="0"/>
        <w:spacing w:after="0" w:line="240" w:lineRule="auto"/>
        <w:rPr>
          <w:rFonts w:ascii="Times New Roman" w:hAnsi="Times New Roman" w:cs="Times New Roman"/>
          <w:color w:val="000000"/>
          <w:kern w:val="0"/>
          <w:sz w:val="24"/>
          <w:szCs w:val="24"/>
        </w:rPr>
      </w:pPr>
      <w:r w:rsidRPr="00B07DB0">
        <w:rPr>
          <w:rFonts w:ascii="Times New Roman" w:hAnsi="Times New Roman" w:cs="Times New Roman"/>
          <w:color w:val="000000"/>
          <w:kern w:val="0"/>
          <w:sz w:val="24"/>
          <w:szCs w:val="24"/>
        </w:rPr>
        <w:t>This template is the intellectual property of ACCP. It may be adapted/used without permission to establish CPAs. Republication or distribution without proper attribution requires prior written consent.</w:t>
      </w:r>
    </w:p>
    <w:p w14:paraId="7F6C2288" w14:textId="77777777" w:rsidR="00C90A85" w:rsidRPr="00B07DB0" w:rsidRDefault="00C90A85" w:rsidP="00C90A85">
      <w:pPr>
        <w:autoSpaceDE w:val="0"/>
        <w:autoSpaceDN w:val="0"/>
        <w:adjustRightInd w:val="0"/>
        <w:spacing w:after="0" w:line="240" w:lineRule="auto"/>
        <w:rPr>
          <w:rFonts w:ascii="Times New Roman" w:hAnsi="Times New Roman" w:cs="Times New Roman"/>
          <w:color w:val="000000"/>
          <w:kern w:val="0"/>
          <w:sz w:val="24"/>
          <w:szCs w:val="24"/>
        </w:rPr>
      </w:pPr>
    </w:p>
    <w:p w14:paraId="2BAACA66" w14:textId="77777777" w:rsidR="00C90A85" w:rsidRPr="00B07DB0" w:rsidRDefault="00C90A85" w:rsidP="00C90A85">
      <w:pPr>
        <w:autoSpaceDE w:val="0"/>
        <w:autoSpaceDN w:val="0"/>
        <w:adjustRightInd w:val="0"/>
        <w:spacing w:after="0" w:line="240" w:lineRule="auto"/>
        <w:rPr>
          <w:rFonts w:ascii="Times New Roman" w:hAnsi="Times New Roman" w:cs="Times New Roman"/>
          <w:color w:val="000000"/>
          <w:kern w:val="0"/>
          <w:sz w:val="24"/>
          <w:szCs w:val="24"/>
        </w:rPr>
      </w:pPr>
    </w:p>
    <w:p w14:paraId="522386D7" w14:textId="77777777" w:rsidR="00C90A85" w:rsidRPr="00960BC6" w:rsidRDefault="00C90A85" w:rsidP="00C90A85">
      <w:pPr>
        <w:autoSpaceDE w:val="0"/>
        <w:autoSpaceDN w:val="0"/>
        <w:adjustRightInd w:val="0"/>
        <w:spacing w:after="0" w:line="240" w:lineRule="auto"/>
        <w:rPr>
          <w:rFonts w:ascii="Times New Roman" w:hAnsi="Times New Roman" w:cs="Times New Roman"/>
          <w:b/>
          <w:bCs/>
          <w:color w:val="000000"/>
          <w:kern w:val="0"/>
          <w:sz w:val="24"/>
          <w:szCs w:val="24"/>
        </w:rPr>
      </w:pPr>
      <w:r w:rsidRPr="00960BC6">
        <w:rPr>
          <w:rFonts w:ascii="Times New Roman" w:hAnsi="Times New Roman" w:cs="Times New Roman"/>
          <w:b/>
          <w:bCs/>
          <w:color w:val="000000"/>
          <w:kern w:val="0"/>
          <w:sz w:val="24"/>
          <w:szCs w:val="24"/>
        </w:rPr>
        <w:t>Suggested Citation</w:t>
      </w:r>
    </w:p>
    <w:p w14:paraId="1CC0E348" w14:textId="0408E22B" w:rsidR="0020498A" w:rsidRDefault="008B2B56" w:rsidP="008B2B56">
      <w:pPr>
        <w:autoSpaceDE w:val="0"/>
        <w:autoSpaceDN w:val="0"/>
        <w:adjustRightInd w:val="0"/>
        <w:spacing w:after="0" w:line="240" w:lineRule="auto"/>
        <w:rPr>
          <w:rFonts w:ascii="Times New Roman" w:hAnsi="Times New Roman" w:cs="Times New Roman"/>
          <w:color w:val="000000"/>
          <w:kern w:val="0"/>
          <w:sz w:val="24"/>
          <w:szCs w:val="24"/>
        </w:rPr>
      </w:pPr>
      <w:r w:rsidRPr="00B07DB0">
        <w:rPr>
          <w:rFonts w:ascii="Times New Roman" w:hAnsi="Times New Roman" w:cs="Times New Roman"/>
          <w:color w:val="000000"/>
          <w:kern w:val="0"/>
          <w:sz w:val="24"/>
          <w:szCs w:val="24"/>
        </w:rPr>
        <w:t>Clinical Pharmacist Collaborative Practice Agreement Template.  American College of Clinical Pharmacy.  October 2025.  Available at:</w:t>
      </w:r>
      <w:r w:rsidR="0020498A" w:rsidRPr="0020498A">
        <w:t xml:space="preserve"> </w:t>
      </w:r>
      <w:hyperlink r:id="rId14" w:history="1">
        <w:r w:rsidR="0020498A" w:rsidRPr="000D245B">
          <w:rPr>
            <w:rStyle w:val="Hyperlink"/>
            <w:rFonts w:ascii="Times New Roman" w:hAnsi="Times New Roman" w:cs="Times New Roman"/>
            <w:kern w:val="0"/>
            <w:sz w:val="24"/>
            <w:szCs w:val="24"/>
          </w:rPr>
          <w:t>https://www.accp.com/docs/about/American_College_of_Clinical_Pharmacy_CPA_template_FINAL.docx</w:t>
        </w:r>
      </w:hyperlink>
    </w:p>
    <w:p w14:paraId="72A76D9D" w14:textId="63D939AA" w:rsidR="00F56564" w:rsidRPr="00B07DB0" w:rsidRDefault="00F56564" w:rsidP="008B2B56">
      <w:pPr>
        <w:autoSpaceDE w:val="0"/>
        <w:autoSpaceDN w:val="0"/>
        <w:adjustRightInd w:val="0"/>
        <w:spacing w:after="0" w:line="240" w:lineRule="auto"/>
        <w:rPr>
          <w:rFonts w:ascii="Times New Roman" w:hAnsi="Times New Roman" w:cs="Times New Roman"/>
          <w:color w:val="000000"/>
          <w:kern w:val="0"/>
          <w:sz w:val="24"/>
          <w:szCs w:val="24"/>
        </w:rPr>
      </w:pPr>
    </w:p>
    <w:sectPr w:rsidR="00F56564" w:rsidRPr="00B07DB0" w:rsidSect="00E752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017B" w14:textId="77777777" w:rsidR="00C82027" w:rsidRDefault="00C82027" w:rsidP="003D133E">
      <w:pPr>
        <w:spacing w:after="0" w:line="240" w:lineRule="auto"/>
      </w:pPr>
      <w:r>
        <w:separator/>
      </w:r>
    </w:p>
  </w:endnote>
  <w:endnote w:type="continuationSeparator" w:id="0">
    <w:p w14:paraId="4BAC9726" w14:textId="77777777" w:rsidR="00C82027" w:rsidRDefault="00C82027" w:rsidP="003D133E">
      <w:pPr>
        <w:spacing w:after="0" w:line="240" w:lineRule="auto"/>
      </w:pPr>
      <w:r>
        <w:continuationSeparator/>
      </w:r>
    </w:p>
  </w:endnote>
  <w:endnote w:type="continuationNotice" w:id="1">
    <w:p w14:paraId="31E329B5" w14:textId="77777777" w:rsidR="00C82027" w:rsidRDefault="00C82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BergamoStd-Regular">
    <w:altName w:val="Yu Gothic"/>
    <w:panose1 w:val="00000000000000000000"/>
    <w:charset w:val="80"/>
    <w:family w:val="roman"/>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BergamoStd-Bold">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068849"/>
      <w:docPartObj>
        <w:docPartGallery w:val="Page Numbers (Bottom of Page)"/>
        <w:docPartUnique/>
      </w:docPartObj>
    </w:sdtPr>
    <w:sdtEndPr>
      <w:rPr>
        <w:noProof/>
      </w:rPr>
    </w:sdtEndPr>
    <w:sdtContent>
      <w:p w14:paraId="6D52A48F" w14:textId="510DCB59" w:rsidR="00EF3420" w:rsidRDefault="00EF34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8DFCFC" w14:textId="77777777" w:rsidR="00EF3420" w:rsidRDefault="00EF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9236" w14:textId="77777777" w:rsidR="00C82027" w:rsidRDefault="00C82027" w:rsidP="003D133E">
      <w:pPr>
        <w:spacing w:after="0" w:line="240" w:lineRule="auto"/>
      </w:pPr>
      <w:r>
        <w:separator/>
      </w:r>
    </w:p>
  </w:footnote>
  <w:footnote w:type="continuationSeparator" w:id="0">
    <w:p w14:paraId="36DF501B" w14:textId="77777777" w:rsidR="00C82027" w:rsidRDefault="00C82027" w:rsidP="003D133E">
      <w:pPr>
        <w:spacing w:after="0" w:line="240" w:lineRule="auto"/>
      </w:pPr>
      <w:r>
        <w:continuationSeparator/>
      </w:r>
    </w:p>
  </w:footnote>
  <w:footnote w:type="continuationNotice" w:id="1">
    <w:p w14:paraId="11C73FDB" w14:textId="77777777" w:rsidR="00C82027" w:rsidRDefault="00C820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9F7"/>
    <w:multiLevelType w:val="hybridMultilevel"/>
    <w:tmpl w:val="8AECE33E"/>
    <w:lvl w:ilvl="0" w:tplc="78A4BFB6">
      <w:start w:val="1"/>
      <w:numFmt w:val="upperLetter"/>
      <w:lvlText w:val="%1."/>
      <w:lvlJc w:val="left"/>
      <w:pPr>
        <w:ind w:left="720" w:hanging="360"/>
      </w:pPr>
      <w:rPr>
        <w:rFonts w:asciiTheme="minorHAnsi" w:eastAsia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27BA7"/>
    <w:multiLevelType w:val="hybridMultilevel"/>
    <w:tmpl w:val="BF46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371D"/>
    <w:multiLevelType w:val="multilevel"/>
    <w:tmpl w:val="13AC1D76"/>
    <w:lvl w:ilvl="0">
      <w:start w:val="1"/>
      <w:numFmt w:val="bullet"/>
      <w:lvlText w:val=""/>
      <w:lvlJc w:val="left"/>
      <w:pPr>
        <w:ind w:left="360" w:hanging="360"/>
      </w:pPr>
      <w:rPr>
        <w:rFonts w:ascii="Wingdings" w:hAnsi="Wingdings" w:hint="default"/>
        <w:color w:val="auto"/>
        <w:sz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E2F43B9"/>
    <w:multiLevelType w:val="multilevel"/>
    <w:tmpl w:val="C6F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35415"/>
    <w:multiLevelType w:val="hybridMultilevel"/>
    <w:tmpl w:val="91B080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04D69"/>
    <w:multiLevelType w:val="hybridMultilevel"/>
    <w:tmpl w:val="9C500E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C55A40"/>
    <w:multiLevelType w:val="multilevel"/>
    <w:tmpl w:val="B7582E3A"/>
    <w:lvl w:ilvl="0">
      <w:start w:val="1"/>
      <w:numFmt w:val="bullet"/>
      <w:lvlText w:val=""/>
      <w:lvlJc w:val="left"/>
      <w:pPr>
        <w:ind w:left="360" w:hanging="360"/>
      </w:pPr>
      <w:rPr>
        <w:rFonts w:ascii="Wingdings" w:hAnsi="Wingdings" w:hint="default"/>
        <w:color w:val="auto"/>
        <w:sz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76F42B9"/>
    <w:multiLevelType w:val="multilevel"/>
    <w:tmpl w:val="F15A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42FE9"/>
    <w:multiLevelType w:val="multilevel"/>
    <w:tmpl w:val="7EA28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F331BA"/>
    <w:multiLevelType w:val="hybridMultilevel"/>
    <w:tmpl w:val="49465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96D3E"/>
    <w:multiLevelType w:val="multilevel"/>
    <w:tmpl w:val="4290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3057AA"/>
    <w:multiLevelType w:val="hybridMultilevel"/>
    <w:tmpl w:val="91841F9E"/>
    <w:lvl w:ilvl="0" w:tplc="802ED5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22645"/>
    <w:multiLevelType w:val="multilevel"/>
    <w:tmpl w:val="DCD69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8102DF"/>
    <w:multiLevelType w:val="hybridMultilevel"/>
    <w:tmpl w:val="B77C918A"/>
    <w:lvl w:ilvl="0" w:tplc="FEA0CD2C">
      <w:start w:val="4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B6A94"/>
    <w:multiLevelType w:val="multilevel"/>
    <w:tmpl w:val="026C2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9B151A"/>
    <w:multiLevelType w:val="hybridMultilevel"/>
    <w:tmpl w:val="5F72F298"/>
    <w:lvl w:ilvl="0" w:tplc="7D2EDB00">
      <w:start w:val="1"/>
      <w:numFmt w:val="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6A4158"/>
    <w:multiLevelType w:val="multilevel"/>
    <w:tmpl w:val="0C906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B16813"/>
    <w:multiLevelType w:val="multilevel"/>
    <w:tmpl w:val="E52E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AC53E7"/>
    <w:multiLevelType w:val="hybridMultilevel"/>
    <w:tmpl w:val="ADB22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7117F"/>
    <w:multiLevelType w:val="multilevel"/>
    <w:tmpl w:val="B1F0F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A95E8B"/>
    <w:multiLevelType w:val="hybridMultilevel"/>
    <w:tmpl w:val="D4EE4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365B1"/>
    <w:multiLevelType w:val="multilevel"/>
    <w:tmpl w:val="E96A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90EDA"/>
    <w:multiLevelType w:val="multilevel"/>
    <w:tmpl w:val="3B56CC36"/>
    <w:lvl w:ilvl="0">
      <w:start w:val="1"/>
      <w:numFmt w:val="bullet"/>
      <w:lvlText w:val=""/>
      <w:lvlJc w:val="left"/>
      <w:pPr>
        <w:tabs>
          <w:tab w:val="num" w:pos="360"/>
        </w:tabs>
        <w:ind w:left="360" w:hanging="360"/>
      </w:pPr>
      <w:rPr>
        <w:rFonts w:ascii="Wingdings" w:hAnsi="Wingdings" w:hint="default"/>
        <w:color w:val="auto"/>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34D2FDB"/>
    <w:multiLevelType w:val="multilevel"/>
    <w:tmpl w:val="1C1A5E42"/>
    <w:lvl w:ilvl="0">
      <w:start w:val="1"/>
      <w:numFmt w:val="bullet"/>
      <w:lvlText w:val=""/>
      <w:lvlJc w:val="left"/>
      <w:pPr>
        <w:tabs>
          <w:tab w:val="num" w:pos="360"/>
        </w:tabs>
        <w:ind w:left="360" w:hanging="360"/>
      </w:pPr>
      <w:rPr>
        <w:rFonts w:ascii="Wingdings" w:hAnsi="Wingdings" w:hint="default"/>
        <w:color w:val="auto"/>
        <w:sz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3A138E"/>
    <w:multiLevelType w:val="hybridMultilevel"/>
    <w:tmpl w:val="25EACF68"/>
    <w:lvl w:ilvl="0" w:tplc="7D2EDB00">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C1D84"/>
    <w:multiLevelType w:val="hybridMultilevel"/>
    <w:tmpl w:val="9410CA3C"/>
    <w:lvl w:ilvl="0" w:tplc="FC421860">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D5A25"/>
    <w:multiLevelType w:val="multilevel"/>
    <w:tmpl w:val="0C36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1B1A2E"/>
    <w:multiLevelType w:val="hybridMultilevel"/>
    <w:tmpl w:val="B6FA3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130825">
    <w:abstractNumId w:val="11"/>
  </w:num>
  <w:num w:numId="2" w16cid:durableId="782504019">
    <w:abstractNumId w:val="25"/>
  </w:num>
  <w:num w:numId="3" w16cid:durableId="1638996328">
    <w:abstractNumId w:val="0"/>
  </w:num>
  <w:num w:numId="4" w16cid:durableId="363137036">
    <w:abstractNumId w:val="18"/>
  </w:num>
  <w:num w:numId="5" w16cid:durableId="1689911384">
    <w:abstractNumId w:val="8"/>
  </w:num>
  <w:num w:numId="6" w16cid:durableId="723985205">
    <w:abstractNumId w:val="19"/>
  </w:num>
  <w:num w:numId="7" w16cid:durableId="837767955">
    <w:abstractNumId w:val="12"/>
  </w:num>
  <w:num w:numId="8" w16cid:durableId="393965148">
    <w:abstractNumId w:val="2"/>
  </w:num>
  <w:num w:numId="9" w16cid:durableId="522325002">
    <w:abstractNumId w:val="14"/>
  </w:num>
  <w:num w:numId="10" w16cid:durableId="454375209">
    <w:abstractNumId w:val="6"/>
  </w:num>
  <w:num w:numId="11" w16cid:durableId="633298085">
    <w:abstractNumId w:val="16"/>
  </w:num>
  <w:num w:numId="12" w16cid:durableId="1477990180">
    <w:abstractNumId w:val="15"/>
  </w:num>
  <w:num w:numId="13" w16cid:durableId="1666933378">
    <w:abstractNumId w:val="3"/>
  </w:num>
  <w:num w:numId="14" w16cid:durableId="1785726848">
    <w:abstractNumId w:val="7"/>
  </w:num>
  <w:num w:numId="15" w16cid:durableId="786779454">
    <w:abstractNumId w:val="13"/>
  </w:num>
  <w:num w:numId="16" w16cid:durableId="683942647">
    <w:abstractNumId w:val="23"/>
  </w:num>
  <w:num w:numId="17" w16cid:durableId="912079174">
    <w:abstractNumId w:val="24"/>
  </w:num>
  <w:num w:numId="18" w16cid:durableId="1185094592">
    <w:abstractNumId w:val="21"/>
  </w:num>
  <w:num w:numId="19" w16cid:durableId="1698777833">
    <w:abstractNumId w:val="22"/>
  </w:num>
  <w:num w:numId="20" w16cid:durableId="1746486735">
    <w:abstractNumId w:val="1"/>
  </w:num>
  <w:num w:numId="21" w16cid:durableId="1730222903">
    <w:abstractNumId w:val="4"/>
  </w:num>
  <w:num w:numId="22" w16cid:durableId="48652119">
    <w:abstractNumId w:val="20"/>
  </w:num>
  <w:num w:numId="23" w16cid:durableId="264267891">
    <w:abstractNumId w:val="5"/>
  </w:num>
  <w:num w:numId="24" w16cid:durableId="1953783983">
    <w:abstractNumId w:val="27"/>
  </w:num>
  <w:num w:numId="25" w16cid:durableId="1207717433">
    <w:abstractNumId w:val="9"/>
  </w:num>
  <w:num w:numId="26" w16cid:durableId="434792660">
    <w:abstractNumId w:val="10"/>
  </w:num>
  <w:num w:numId="27" w16cid:durableId="1686638562">
    <w:abstractNumId w:val="17"/>
  </w:num>
  <w:num w:numId="28" w16cid:durableId="11659013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12"/>
    <w:rsid w:val="000033DA"/>
    <w:rsid w:val="000041B4"/>
    <w:rsid w:val="00012336"/>
    <w:rsid w:val="000136D9"/>
    <w:rsid w:val="00016197"/>
    <w:rsid w:val="00021995"/>
    <w:rsid w:val="00026BD1"/>
    <w:rsid w:val="00030A8F"/>
    <w:rsid w:val="00031442"/>
    <w:rsid w:val="000468C7"/>
    <w:rsid w:val="00057125"/>
    <w:rsid w:val="0005735B"/>
    <w:rsid w:val="00060E0B"/>
    <w:rsid w:val="000838A7"/>
    <w:rsid w:val="00084543"/>
    <w:rsid w:val="000864C6"/>
    <w:rsid w:val="0008772C"/>
    <w:rsid w:val="000942E5"/>
    <w:rsid w:val="00094FBB"/>
    <w:rsid w:val="000A6290"/>
    <w:rsid w:val="000B09E0"/>
    <w:rsid w:val="000B29C2"/>
    <w:rsid w:val="000B4669"/>
    <w:rsid w:val="000C0348"/>
    <w:rsid w:val="000D35E4"/>
    <w:rsid w:val="000D61AE"/>
    <w:rsid w:val="000D6B4B"/>
    <w:rsid w:val="000D7C44"/>
    <w:rsid w:val="000E445C"/>
    <w:rsid w:val="000E696C"/>
    <w:rsid w:val="000E703B"/>
    <w:rsid w:val="000F1324"/>
    <w:rsid w:val="000F588E"/>
    <w:rsid w:val="000F5C1B"/>
    <w:rsid w:val="00106203"/>
    <w:rsid w:val="00111BD3"/>
    <w:rsid w:val="00115301"/>
    <w:rsid w:val="00116B6B"/>
    <w:rsid w:val="001265DE"/>
    <w:rsid w:val="00126D1E"/>
    <w:rsid w:val="00130528"/>
    <w:rsid w:val="001324EB"/>
    <w:rsid w:val="00132E48"/>
    <w:rsid w:val="00132FB3"/>
    <w:rsid w:val="00133AC4"/>
    <w:rsid w:val="001366F7"/>
    <w:rsid w:val="00150A58"/>
    <w:rsid w:val="00154FB0"/>
    <w:rsid w:val="00156ADE"/>
    <w:rsid w:val="00161911"/>
    <w:rsid w:val="00161C89"/>
    <w:rsid w:val="00165B85"/>
    <w:rsid w:val="0017009F"/>
    <w:rsid w:val="001730ED"/>
    <w:rsid w:val="0017700D"/>
    <w:rsid w:val="00177348"/>
    <w:rsid w:val="0018476B"/>
    <w:rsid w:val="00190298"/>
    <w:rsid w:val="00193AAB"/>
    <w:rsid w:val="0019590C"/>
    <w:rsid w:val="0019677D"/>
    <w:rsid w:val="00197B3D"/>
    <w:rsid w:val="00197CAE"/>
    <w:rsid w:val="001A3F10"/>
    <w:rsid w:val="001A4195"/>
    <w:rsid w:val="001A4268"/>
    <w:rsid w:val="001A47E9"/>
    <w:rsid w:val="001A675B"/>
    <w:rsid w:val="001B1EA0"/>
    <w:rsid w:val="001B22BE"/>
    <w:rsid w:val="001B3CCE"/>
    <w:rsid w:val="001B6A64"/>
    <w:rsid w:val="001C4C1B"/>
    <w:rsid w:val="001C5936"/>
    <w:rsid w:val="001C67B0"/>
    <w:rsid w:val="001D51F1"/>
    <w:rsid w:val="001D5A44"/>
    <w:rsid w:val="001E2047"/>
    <w:rsid w:val="001E38D6"/>
    <w:rsid w:val="001E3EB9"/>
    <w:rsid w:val="001F10BC"/>
    <w:rsid w:val="001F1A56"/>
    <w:rsid w:val="001F3EBF"/>
    <w:rsid w:val="00200B82"/>
    <w:rsid w:val="00200D55"/>
    <w:rsid w:val="0020498A"/>
    <w:rsid w:val="00210627"/>
    <w:rsid w:val="00210C55"/>
    <w:rsid w:val="00212EA5"/>
    <w:rsid w:val="0021596E"/>
    <w:rsid w:val="00224B24"/>
    <w:rsid w:val="00225152"/>
    <w:rsid w:val="002363C4"/>
    <w:rsid w:val="002410EA"/>
    <w:rsid w:val="002444C6"/>
    <w:rsid w:val="002472C4"/>
    <w:rsid w:val="002508DB"/>
    <w:rsid w:val="0025170C"/>
    <w:rsid w:val="00267999"/>
    <w:rsid w:val="00270453"/>
    <w:rsid w:val="002731D4"/>
    <w:rsid w:val="0027380E"/>
    <w:rsid w:val="00274F96"/>
    <w:rsid w:val="00277594"/>
    <w:rsid w:val="002863D4"/>
    <w:rsid w:val="00297FC6"/>
    <w:rsid w:val="002A34AA"/>
    <w:rsid w:val="002A3B58"/>
    <w:rsid w:val="002A4369"/>
    <w:rsid w:val="002A79F0"/>
    <w:rsid w:val="002B641C"/>
    <w:rsid w:val="002B7BE7"/>
    <w:rsid w:val="002C27A3"/>
    <w:rsid w:val="002C3996"/>
    <w:rsid w:val="002C663F"/>
    <w:rsid w:val="002C78AA"/>
    <w:rsid w:val="002D2D82"/>
    <w:rsid w:val="002D4E47"/>
    <w:rsid w:val="002D7A23"/>
    <w:rsid w:val="002E41C6"/>
    <w:rsid w:val="002F3392"/>
    <w:rsid w:val="00300540"/>
    <w:rsid w:val="00301732"/>
    <w:rsid w:val="003106A1"/>
    <w:rsid w:val="00310B08"/>
    <w:rsid w:val="00310F36"/>
    <w:rsid w:val="003113C5"/>
    <w:rsid w:val="00312856"/>
    <w:rsid w:val="00322800"/>
    <w:rsid w:val="003241B3"/>
    <w:rsid w:val="0032437F"/>
    <w:rsid w:val="0032797B"/>
    <w:rsid w:val="00327B2D"/>
    <w:rsid w:val="00333D60"/>
    <w:rsid w:val="00337065"/>
    <w:rsid w:val="003406FE"/>
    <w:rsid w:val="0034599D"/>
    <w:rsid w:val="003459D4"/>
    <w:rsid w:val="0034759B"/>
    <w:rsid w:val="00350992"/>
    <w:rsid w:val="00354D64"/>
    <w:rsid w:val="00356727"/>
    <w:rsid w:val="00363D22"/>
    <w:rsid w:val="003716AF"/>
    <w:rsid w:val="00371DAF"/>
    <w:rsid w:val="00371E60"/>
    <w:rsid w:val="003841B7"/>
    <w:rsid w:val="00385F76"/>
    <w:rsid w:val="00386881"/>
    <w:rsid w:val="00387C4A"/>
    <w:rsid w:val="003944D2"/>
    <w:rsid w:val="003C010A"/>
    <w:rsid w:val="003C2FCC"/>
    <w:rsid w:val="003C58B9"/>
    <w:rsid w:val="003D133E"/>
    <w:rsid w:val="003D21AF"/>
    <w:rsid w:val="003F1C80"/>
    <w:rsid w:val="003F568C"/>
    <w:rsid w:val="00400CD4"/>
    <w:rsid w:val="0040329F"/>
    <w:rsid w:val="004046DF"/>
    <w:rsid w:val="00406E19"/>
    <w:rsid w:val="004077DB"/>
    <w:rsid w:val="004115FB"/>
    <w:rsid w:val="00412125"/>
    <w:rsid w:val="004126B2"/>
    <w:rsid w:val="00415795"/>
    <w:rsid w:val="00415CE3"/>
    <w:rsid w:val="00420690"/>
    <w:rsid w:val="00425312"/>
    <w:rsid w:val="0042573B"/>
    <w:rsid w:val="00431B65"/>
    <w:rsid w:val="00446544"/>
    <w:rsid w:val="00452B5C"/>
    <w:rsid w:val="00454E0D"/>
    <w:rsid w:val="00456F09"/>
    <w:rsid w:val="00460195"/>
    <w:rsid w:val="004618E9"/>
    <w:rsid w:val="00462350"/>
    <w:rsid w:val="00465269"/>
    <w:rsid w:val="004750FC"/>
    <w:rsid w:val="0047776F"/>
    <w:rsid w:val="0048270A"/>
    <w:rsid w:val="00483567"/>
    <w:rsid w:val="00483650"/>
    <w:rsid w:val="00487776"/>
    <w:rsid w:val="00487818"/>
    <w:rsid w:val="00492618"/>
    <w:rsid w:val="00493ADC"/>
    <w:rsid w:val="00495016"/>
    <w:rsid w:val="004A022B"/>
    <w:rsid w:val="004A2163"/>
    <w:rsid w:val="004A2A81"/>
    <w:rsid w:val="004A382C"/>
    <w:rsid w:val="004A61F6"/>
    <w:rsid w:val="004A6AD5"/>
    <w:rsid w:val="004B1ECF"/>
    <w:rsid w:val="004B233E"/>
    <w:rsid w:val="004B2DA1"/>
    <w:rsid w:val="004C17EB"/>
    <w:rsid w:val="004C17FE"/>
    <w:rsid w:val="004C43AB"/>
    <w:rsid w:val="004D085E"/>
    <w:rsid w:val="004D3BD7"/>
    <w:rsid w:val="004D4455"/>
    <w:rsid w:val="004E0321"/>
    <w:rsid w:val="004E19F6"/>
    <w:rsid w:val="004E27C7"/>
    <w:rsid w:val="004E3047"/>
    <w:rsid w:val="004E59F7"/>
    <w:rsid w:val="004F0443"/>
    <w:rsid w:val="004F28B0"/>
    <w:rsid w:val="004F7332"/>
    <w:rsid w:val="005001B5"/>
    <w:rsid w:val="005001F3"/>
    <w:rsid w:val="00502199"/>
    <w:rsid w:val="005051BC"/>
    <w:rsid w:val="00507527"/>
    <w:rsid w:val="00522A4B"/>
    <w:rsid w:val="00523831"/>
    <w:rsid w:val="005318F5"/>
    <w:rsid w:val="00531B37"/>
    <w:rsid w:val="0053352D"/>
    <w:rsid w:val="00533794"/>
    <w:rsid w:val="0053489D"/>
    <w:rsid w:val="005363FD"/>
    <w:rsid w:val="00542BF0"/>
    <w:rsid w:val="00543374"/>
    <w:rsid w:val="00543C40"/>
    <w:rsid w:val="00544A3D"/>
    <w:rsid w:val="00550A37"/>
    <w:rsid w:val="005559A6"/>
    <w:rsid w:val="005673F8"/>
    <w:rsid w:val="0056781E"/>
    <w:rsid w:val="00567AD2"/>
    <w:rsid w:val="00570C0F"/>
    <w:rsid w:val="00580B6B"/>
    <w:rsid w:val="005817B5"/>
    <w:rsid w:val="00585E17"/>
    <w:rsid w:val="00587654"/>
    <w:rsid w:val="00593CB0"/>
    <w:rsid w:val="0059623D"/>
    <w:rsid w:val="005A1794"/>
    <w:rsid w:val="005A2DC2"/>
    <w:rsid w:val="005B3ACE"/>
    <w:rsid w:val="005B3DD2"/>
    <w:rsid w:val="005B72B5"/>
    <w:rsid w:val="005C38B5"/>
    <w:rsid w:val="005C42FE"/>
    <w:rsid w:val="005C6111"/>
    <w:rsid w:val="005C6656"/>
    <w:rsid w:val="005C678C"/>
    <w:rsid w:val="005C7BAE"/>
    <w:rsid w:val="005D015E"/>
    <w:rsid w:val="005D0858"/>
    <w:rsid w:val="005D3CFD"/>
    <w:rsid w:val="005E23DB"/>
    <w:rsid w:val="005E29E8"/>
    <w:rsid w:val="005E3F05"/>
    <w:rsid w:val="005E72EA"/>
    <w:rsid w:val="005E7FB6"/>
    <w:rsid w:val="005F23DB"/>
    <w:rsid w:val="005F2FE6"/>
    <w:rsid w:val="00606365"/>
    <w:rsid w:val="00606BA9"/>
    <w:rsid w:val="0061252B"/>
    <w:rsid w:val="00616370"/>
    <w:rsid w:val="00620379"/>
    <w:rsid w:val="006209F2"/>
    <w:rsid w:val="0062143E"/>
    <w:rsid w:val="006234CB"/>
    <w:rsid w:val="00625533"/>
    <w:rsid w:val="00640067"/>
    <w:rsid w:val="006411C4"/>
    <w:rsid w:val="006442B7"/>
    <w:rsid w:val="00647F75"/>
    <w:rsid w:val="00656A28"/>
    <w:rsid w:val="00656D85"/>
    <w:rsid w:val="006600BD"/>
    <w:rsid w:val="006633F0"/>
    <w:rsid w:val="006640D0"/>
    <w:rsid w:val="0066690A"/>
    <w:rsid w:val="00672172"/>
    <w:rsid w:val="00673086"/>
    <w:rsid w:val="006819B0"/>
    <w:rsid w:val="0068532E"/>
    <w:rsid w:val="006853C5"/>
    <w:rsid w:val="00690C2A"/>
    <w:rsid w:val="00691325"/>
    <w:rsid w:val="006A00E4"/>
    <w:rsid w:val="006A08BE"/>
    <w:rsid w:val="006A4DD1"/>
    <w:rsid w:val="006A6F0D"/>
    <w:rsid w:val="006B1972"/>
    <w:rsid w:val="006C4ADA"/>
    <w:rsid w:val="006D59AF"/>
    <w:rsid w:val="006D5DED"/>
    <w:rsid w:val="006E1F50"/>
    <w:rsid w:val="006E3235"/>
    <w:rsid w:val="006E6044"/>
    <w:rsid w:val="006F0029"/>
    <w:rsid w:val="006F0F5F"/>
    <w:rsid w:val="006F28A8"/>
    <w:rsid w:val="006F41A2"/>
    <w:rsid w:val="006F4D29"/>
    <w:rsid w:val="0070209E"/>
    <w:rsid w:val="0070556A"/>
    <w:rsid w:val="007137A0"/>
    <w:rsid w:val="00717A98"/>
    <w:rsid w:val="0072497A"/>
    <w:rsid w:val="00727A11"/>
    <w:rsid w:val="00732339"/>
    <w:rsid w:val="0074097E"/>
    <w:rsid w:val="00740ADB"/>
    <w:rsid w:val="00742E46"/>
    <w:rsid w:val="00744B15"/>
    <w:rsid w:val="0075071F"/>
    <w:rsid w:val="00750BDB"/>
    <w:rsid w:val="00754A06"/>
    <w:rsid w:val="00757785"/>
    <w:rsid w:val="007626F5"/>
    <w:rsid w:val="007626FA"/>
    <w:rsid w:val="0076293E"/>
    <w:rsid w:val="007657DA"/>
    <w:rsid w:val="00765C23"/>
    <w:rsid w:val="00766580"/>
    <w:rsid w:val="00770F36"/>
    <w:rsid w:val="00772853"/>
    <w:rsid w:val="00772C69"/>
    <w:rsid w:val="007813B9"/>
    <w:rsid w:val="00784D04"/>
    <w:rsid w:val="00784E7D"/>
    <w:rsid w:val="007860C4"/>
    <w:rsid w:val="00791537"/>
    <w:rsid w:val="007931F8"/>
    <w:rsid w:val="007A106F"/>
    <w:rsid w:val="007A12AB"/>
    <w:rsid w:val="007A39A7"/>
    <w:rsid w:val="007B0D46"/>
    <w:rsid w:val="007B0E47"/>
    <w:rsid w:val="007B10F9"/>
    <w:rsid w:val="007B5B0A"/>
    <w:rsid w:val="007C0F6A"/>
    <w:rsid w:val="007C151A"/>
    <w:rsid w:val="007C51BB"/>
    <w:rsid w:val="007C5BD3"/>
    <w:rsid w:val="007C7667"/>
    <w:rsid w:val="007D11F2"/>
    <w:rsid w:val="007D2450"/>
    <w:rsid w:val="007D4CB1"/>
    <w:rsid w:val="007D66A1"/>
    <w:rsid w:val="007E0F6D"/>
    <w:rsid w:val="007F11EA"/>
    <w:rsid w:val="007F186E"/>
    <w:rsid w:val="007F64AF"/>
    <w:rsid w:val="0080605F"/>
    <w:rsid w:val="008066BD"/>
    <w:rsid w:val="00806EA4"/>
    <w:rsid w:val="00811826"/>
    <w:rsid w:val="0081682B"/>
    <w:rsid w:val="008178AE"/>
    <w:rsid w:val="00821352"/>
    <w:rsid w:val="00822637"/>
    <w:rsid w:val="008302FE"/>
    <w:rsid w:val="00835DCB"/>
    <w:rsid w:val="008371B9"/>
    <w:rsid w:val="008372D2"/>
    <w:rsid w:val="00843238"/>
    <w:rsid w:val="00847D14"/>
    <w:rsid w:val="00854F3A"/>
    <w:rsid w:val="00855958"/>
    <w:rsid w:val="00860FE8"/>
    <w:rsid w:val="00862CB7"/>
    <w:rsid w:val="00867644"/>
    <w:rsid w:val="00885B1F"/>
    <w:rsid w:val="00891D7E"/>
    <w:rsid w:val="00895AFA"/>
    <w:rsid w:val="00897E2D"/>
    <w:rsid w:val="008A2816"/>
    <w:rsid w:val="008A511C"/>
    <w:rsid w:val="008A636D"/>
    <w:rsid w:val="008B2B56"/>
    <w:rsid w:val="008B33C2"/>
    <w:rsid w:val="008B4983"/>
    <w:rsid w:val="008B5386"/>
    <w:rsid w:val="008C3712"/>
    <w:rsid w:val="008C6FBA"/>
    <w:rsid w:val="008D1896"/>
    <w:rsid w:val="008D6B40"/>
    <w:rsid w:val="008E0CBA"/>
    <w:rsid w:val="008E6A57"/>
    <w:rsid w:val="008F4BE1"/>
    <w:rsid w:val="00901972"/>
    <w:rsid w:val="0090629B"/>
    <w:rsid w:val="00910A66"/>
    <w:rsid w:val="0091638A"/>
    <w:rsid w:val="00916AD8"/>
    <w:rsid w:val="0091704B"/>
    <w:rsid w:val="00917CBB"/>
    <w:rsid w:val="0092042B"/>
    <w:rsid w:val="0092090F"/>
    <w:rsid w:val="00926BD1"/>
    <w:rsid w:val="00932E02"/>
    <w:rsid w:val="00934EEF"/>
    <w:rsid w:val="009370C2"/>
    <w:rsid w:val="009372D9"/>
    <w:rsid w:val="00946AE8"/>
    <w:rsid w:val="00952603"/>
    <w:rsid w:val="00960ABB"/>
    <w:rsid w:val="00960BC6"/>
    <w:rsid w:val="00961484"/>
    <w:rsid w:val="00967C34"/>
    <w:rsid w:val="0097333F"/>
    <w:rsid w:val="0097452A"/>
    <w:rsid w:val="00987DB2"/>
    <w:rsid w:val="009A04A0"/>
    <w:rsid w:val="009A3CE3"/>
    <w:rsid w:val="009B2473"/>
    <w:rsid w:val="009B3091"/>
    <w:rsid w:val="009B6841"/>
    <w:rsid w:val="009C0114"/>
    <w:rsid w:val="009C20F2"/>
    <w:rsid w:val="009C46A1"/>
    <w:rsid w:val="009C7544"/>
    <w:rsid w:val="009D1CAE"/>
    <w:rsid w:val="009D40DE"/>
    <w:rsid w:val="009D550A"/>
    <w:rsid w:val="009E0FE9"/>
    <w:rsid w:val="009E3093"/>
    <w:rsid w:val="009E48CE"/>
    <w:rsid w:val="009E4A97"/>
    <w:rsid w:val="009F1B05"/>
    <w:rsid w:val="00A00F2D"/>
    <w:rsid w:val="00A04459"/>
    <w:rsid w:val="00A07EC1"/>
    <w:rsid w:val="00A1425A"/>
    <w:rsid w:val="00A16740"/>
    <w:rsid w:val="00A16AA7"/>
    <w:rsid w:val="00A22BAF"/>
    <w:rsid w:val="00A23BBF"/>
    <w:rsid w:val="00A31130"/>
    <w:rsid w:val="00A33839"/>
    <w:rsid w:val="00A367D1"/>
    <w:rsid w:val="00A420F1"/>
    <w:rsid w:val="00A43842"/>
    <w:rsid w:val="00A46157"/>
    <w:rsid w:val="00A5441E"/>
    <w:rsid w:val="00A558DA"/>
    <w:rsid w:val="00A56A46"/>
    <w:rsid w:val="00A608C4"/>
    <w:rsid w:val="00A6096B"/>
    <w:rsid w:val="00A6117C"/>
    <w:rsid w:val="00A64131"/>
    <w:rsid w:val="00A87EDA"/>
    <w:rsid w:val="00A91E85"/>
    <w:rsid w:val="00A91FD3"/>
    <w:rsid w:val="00A94C04"/>
    <w:rsid w:val="00A974C3"/>
    <w:rsid w:val="00A97AC2"/>
    <w:rsid w:val="00AA5658"/>
    <w:rsid w:val="00AB4F93"/>
    <w:rsid w:val="00AB7B3B"/>
    <w:rsid w:val="00AC0F1D"/>
    <w:rsid w:val="00AC614A"/>
    <w:rsid w:val="00AC6A31"/>
    <w:rsid w:val="00AE1E0B"/>
    <w:rsid w:val="00AE1F8D"/>
    <w:rsid w:val="00AE5756"/>
    <w:rsid w:val="00AF3012"/>
    <w:rsid w:val="00AF3339"/>
    <w:rsid w:val="00AF43EC"/>
    <w:rsid w:val="00AF5A32"/>
    <w:rsid w:val="00B01510"/>
    <w:rsid w:val="00B01523"/>
    <w:rsid w:val="00B02481"/>
    <w:rsid w:val="00B03A4F"/>
    <w:rsid w:val="00B05DE6"/>
    <w:rsid w:val="00B06F03"/>
    <w:rsid w:val="00B07DB0"/>
    <w:rsid w:val="00B14A1A"/>
    <w:rsid w:val="00B174E7"/>
    <w:rsid w:val="00B270A9"/>
    <w:rsid w:val="00B3580A"/>
    <w:rsid w:val="00B3712D"/>
    <w:rsid w:val="00B4421F"/>
    <w:rsid w:val="00B478CF"/>
    <w:rsid w:val="00B54FEE"/>
    <w:rsid w:val="00B5510C"/>
    <w:rsid w:val="00B56BB3"/>
    <w:rsid w:val="00B57033"/>
    <w:rsid w:val="00B574DA"/>
    <w:rsid w:val="00B61971"/>
    <w:rsid w:val="00B634AD"/>
    <w:rsid w:val="00B64521"/>
    <w:rsid w:val="00B648E3"/>
    <w:rsid w:val="00B67302"/>
    <w:rsid w:val="00B74886"/>
    <w:rsid w:val="00B74BC7"/>
    <w:rsid w:val="00B80A81"/>
    <w:rsid w:val="00B9038C"/>
    <w:rsid w:val="00B92633"/>
    <w:rsid w:val="00B95924"/>
    <w:rsid w:val="00B9723F"/>
    <w:rsid w:val="00BA0CFE"/>
    <w:rsid w:val="00BA1D11"/>
    <w:rsid w:val="00BA2D7D"/>
    <w:rsid w:val="00BA3201"/>
    <w:rsid w:val="00BB5091"/>
    <w:rsid w:val="00BB6B48"/>
    <w:rsid w:val="00BB6E3D"/>
    <w:rsid w:val="00BC1C69"/>
    <w:rsid w:val="00BC72D1"/>
    <w:rsid w:val="00BD2BE2"/>
    <w:rsid w:val="00BE06CF"/>
    <w:rsid w:val="00BE24CF"/>
    <w:rsid w:val="00BE4364"/>
    <w:rsid w:val="00BE45D3"/>
    <w:rsid w:val="00BE4EDC"/>
    <w:rsid w:val="00BE5AA8"/>
    <w:rsid w:val="00BF122B"/>
    <w:rsid w:val="00BF20CF"/>
    <w:rsid w:val="00BF368E"/>
    <w:rsid w:val="00BF699B"/>
    <w:rsid w:val="00C0090A"/>
    <w:rsid w:val="00C01998"/>
    <w:rsid w:val="00C021F5"/>
    <w:rsid w:val="00C10D69"/>
    <w:rsid w:val="00C10D7E"/>
    <w:rsid w:val="00C1573B"/>
    <w:rsid w:val="00C229CB"/>
    <w:rsid w:val="00C26270"/>
    <w:rsid w:val="00C32C19"/>
    <w:rsid w:val="00C3319A"/>
    <w:rsid w:val="00C40661"/>
    <w:rsid w:val="00C47874"/>
    <w:rsid w:val="00C51E24"/>
    <w:rsid w:val="00C60224"/>
    <w:rsid w:val="00C60791"/>
    <w:rsid w:val="00C70060"/>
    <w:rsid w:val="00C70491"/>
    <w:rsid w:val="00C772C7"/>
    <w:rsid w:val="00C803DE"/>
    <w:rsid w:val="00C80470"/>
    <w:rsid w:val="00C82027"/>
    <w:rsid w:val="00C83367"/>
    <w:rsid w:val="00C90A85"/>
    <w:rsid w:val="00C91397"/>
    <w:rsid w:val="00C95D2C"/>
    <w:rsid w:val="00C961D3"/>
    <w:rsid w:val="00CA10DE"/>
    <w:rsid w:val="00CA7481"/>
    <w:rsid w:val="00CB00C1"/>
    <w:rsid w:val="00CC3633"/>
    <w:rsid w:val="00CC4D7B"/>
    <w:rsid w:val="00CC547C"/>
    <w:rsid w:val="00CC6CEC"/>
    <w:rsid w:val="00CD3AA6"/>
    <w:rsid w:val="00CD3E3C"/>
    <w:rsid w:val="00CD5E70"/>
    <w:rsid w:val="00CE09F4"/>
    <w:rsid w:val="00CE30AC"/>
    <w:rsid w:val="00CF3EDF"/>
    <w:rsid w:val="00CF5730"/>
    <w:rsid w:val="00CF786F"/>
    <w:rsid w:val="00D046BA"/>
    <w:rsid w:val="00D049C7"/>
    <w:rsid w:val="00D0583F"/>
    <w:rsid w:val="00D075BE"/>
    <w:rsid w:val="00D12534"/>
    <w:rsid w:val="00D16370"/>
    <w:rsid w:val="00D1711D"/>
    <w:rsid w:val="00D21FE3"/>
    <w:rsid w:val="00D2601D"/>
    <w:rsid w:val="00D36565"/>
    <w:rsid w:val="00D41D25"/>
    <w:rsid w:val="00D51ACE"/>
    <w:rsid w:val="00D5305E"/>
    <w:rsid w:val="00D540AA"/>
    <w:rsid w:val="00D62799"/>
    <w:rsid w:val="00D85D65"/>
    <w:rsid w:val="00D86359"/>
    <w:rsid w:val="00D86F4F"/>
    <w:rsid w:val="00D9394E"/>
    <w:rsid w:val="00D93BAF"/>
    <w:rsid w:val="00DA421C"/>
    <w:rsid w:val="00DA6125"/>
    <w:rsid w:val="00DB1E9D"/>
    <w:rsid w:val="00DB6060"/>
    <w:rsid w:val="00DC23FB"/>
    <w:rsid w:val="00DC3568"/>
    <w:rsid w:val="00DD0B6F"/>
    <w:rsid w:val="00DD0FB7"/>
    <w:rsid w:val="00DD1DEA"/>
    <w:rsid w:val="00DD2794"/>
    <w:rsid w:val="00DE1197"/>
    <w:rsid w:val="00DE1457"/>
    <w:rsid w:val="00DE1A68"/>
    <w:rsid w:val="00DE677D"/>
    <w:rsid w:val="00DF40DE"/>
    <w:rsid w:val="00E00AF9"/>
    <w:rsid w:val="00E025CF"/>
    <w:rsid w:val="00E05C26"/>
    <w:rsid w:val="00E06A2A"/>
    <w:rsid w:val="00E13A89"/>
    <w:rsid w:val="00E20050"/>
    <w:rsid w:val="00E2220B"/>
    <w:rsid w:val="00E31E9A"/>
    <w:rsid w:val="00E343FC"/>
    <w:rsid w:val="00E360FF"/>
    <w:rsid w:val="00E375F4"/>
    <w:rsid w:val="00E44C19"/>
    <w:rsid w:val="00E44DE2"/>
    <w:rsid w:val="00E6402C"/>
    <w:rsid w:val="00E67D25"/>
    <w:rsid w:val="00E71104"/>
    <w:rsid w:val="00E7309F"/>
    <w:rsid w:val="00E74AFA"/>
    <w:rsid w:val="00E752F6"/>
    <w:rsid w:val="00E80407"/>
    <w:rsid w:val="00E86E6E"/>
    <w:rsid w:val="00E93B34"/>
    <w:rsid w:val="00E93B6C"/>
    <w:rsid w:val="00E97756"/>
    <w:rsid w:val="00EA0CEB"/>
    <w:rsid w:val="00EA78BB"/>
    <w:rsid w:val="00EB1DA2"/>
    <w:rsid w:val="00EB46CB"/>
    <w:rsid w:val="00EB56AA"/>
    <w:rsid w:val="00EB587A"/>
    <w:rsid w:val="00EC0844"/>
    <w:rsid w:val="00EC1C55"/>
    <w:rsid w:val="00EC2BE5"/>
    <w:rsid w:val="00EC4C59"/>
    <w:rsid w:val="00EC545E"/>
    <w:rsid w:val="00ED1272"/>
    <w:rsid w:val="00ED356D"/>
    <w:rsid w:val="00ED359C"/>
    <w:rsid w:val="00ED6CCF"/>
    <w:rsid w:val="00EE13E4"/>
    <w:rsid w:val="00EE2443"/>
    <w:rsid w:val="00EE34A1"/>
    <w:rsid w:val="00EE73CE"/>
    <w:rsid w:val="00EF08B9"/>
    <w:rsid w:val="00EF10E7"/>
    <w:rsid w:val="00EF1229"/>
    <w:rsid w:val="00EF3420"/>
    <w:rsid w:val="00EF4EFB"/>
    <w:rsid w:val="00EF59B6"/>
    <w:rsid w:val="00F0008C"/>
    <w:rsid w:val="00F01F6B"/>
    <w:rsid w:val="00F157BA"/>
    <w:rsid w:val="00F205B4"/>
    <w:rsid w:val="00F20CAD"/>
    <w:rsid w:val="00F2154E"/>
    <w:rsid w:val="00F2270C"/>
    <w:rsid w:val="00F23D77"/>
    <w:rsid w:val="00F26C29"/>
    <w:rsid w:val="00F320A1"/>
    <w:rsid w:val="00F37EFB"/>
    <w:rsid w:val="00F42121"/>
    <w:rsid w:val="00F42B11"/>
    <w:rsid w:val="00F45D07"/>
    <w:rsid w:val="00F47669"/>
    <w:rsid w:val="00F47801"/>
    <w:rsid w:val="00F501FB"/>
    <w:rsid w:val="00F52B8C"/>
    <w:rsid w:val="00F5324A"/>
    <w:rsid w:val="00F56564"/>
    <w:rsid w:val="00F62149"/>
    <w:rsid w:val="00F63836"/>
    <w:rsid w:val="00F65FE1"/>
    <w:rsid w:val="00F70EAB"/>
    <w:rsid w:val="00F721D4"/>
    <w:rsid w:val="00F80193"/>
    <w:rsid w:val="00F82BFA"/>
    <w:rsid w:val="00F82C26"/>
    <w:rsid w:val="00F831E6"/>
    <w:rsid w:val="00F83AD0"/>
    <w:rsid w:val="00F92133"/>
    <w:rsid w:val="00F95EE0"/>
    <w:rsid w:val="00FA2874"/>
    <w:rsid w:val="00FB0B71"/>
    <w:rsid w:val="00FB3DCE"/>
    <w:rsid w:val="00FB53F5"/>
    <w:rsid w:val="00FB564A"/>
    <w:rsid w:val="00FB5C61"/>
    <w:rsid w:val="00FB66AE"/>
    <w:rsid w:val="00FC7B52"/>
    <w:rsid w:val="00FD2B48"/>
    <w:rsid w:val="00FD5699"/>
    <w:rsid w:val="00FD654C"/>
    <w:rsid w:val="00FF08F2"/>
    <w:rsid w:val="00FF3954"/>
    <w:rsid w:val="2F3F4133"/>
    <w:rsid w:val="34C3B401"/>
    <w:rsid w:val="50CA7C96"/>
    <w:rsid w:val="58A90E6C"/>
    <w:rsid w:val="5C86DE8D"/>
    <w:rsid w:val="5F418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0ABF"/>
  <w15:chartTrackingRefBased/>
  <w15:docId w15:val="{C9CBB452-5509-485E-99FF-64233591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8A7"/>
    <w:pPr>
      <w:ind w:left="720"/>
      <w:contextualSpacing/>
    </w:pPr>
  </w:style>
  <w:style w:type="character" w:styleId="CommentReference">
    <w:name w:val="annotation reference"/>
    <w:basedOn w:val="DefaultParagraphFont"/>
    <w:uiPriority w:val="99"/>
    <w:semiHidden/>
    <w:unhideWhenUsed/>
    <w:rsid w:val="008B5386"/>
    <w:rPr>
      <w:sz w:val="16"/>
      <w:szCs w:val="16"/>
    </w:rPr>
  </w:style>
  <w:style w:type="paragraph" w:styleId="CommentText">
    <w:name w:val="annotation text"/>
    <w:basedOn w:val="Normal"/>
    <w:link w:val="CommentTextChar"/>
    <w:uiPriority w:val="99"/>
    <w:unhideWhenUsed/>
    <w:rsid w:val="008B5386"/>
    <w:pPr>
      <w:spacing w:line="240" w:lineRule="auto"/>
    </w:pPr>
    <w:rPr>
      <w:sz w:val="20"/>
      <w:szCs w:val="20"/>
    </w:rPr>
  </w:style>
  <w:style w:type="character" w:customStyle="1" w:styleId="CommentTextChar">
    <w:name w:val="Comment Text Char"/>
    <w:basedOn w:val="DefaultParagraphFont"/>
    <w:link w:val="CommentText"/>
    <w:uiPriority w:val="99"/>
    <w:rsid w:val="008B5386"/>
    <w:rPr>
      <w:sz w:val="20"/>
      <w:szCs w:val="20"/>
    </w:rPr>
  </w:style>
  <w:style w:type="paragraph" w:styleId="CommentSubject">
    <w:name w:val="annotation subject"/>
    <w:basedOn w:val="CommentText"/>
    <w:next w:val="CommentText"/>
    <w:link w:val="CommentSubjectChar"/>
    <w:uiPriority w:val="99"/>
    <w:semiHidden/>
    <w:unhideWhenUsed/>
    <w:rsid w:val="008B5386"/>
    <w:rPr>
      <w:b/>
      <w:bCs/>
    </w:rPr>
  </w:style>
  <w:style w:type="character" w:customStyle="1" w:styleId="CommentSubjectChar">
    <w:name w:val="Comment Subject Char"/>
    <w:basedOn w:val="CommentTextChar"/>
    <w:link w:val="CommentSubject"/>
    <w:uiPriority w:val="99"/>
    <w:semiHidden/>
    <w:rsid w:val="008B5386"/>
    <w:rPr>
      <w:b/>
      <w:bCs/>
      <w:sz w:val="20"/>
      <w:szCs w:val="20"/>
    </w:rPr>
  </w:style>
  <w:style w:type="table" w:styleId="TableGrid">
    <w:name w:val="Table Grid"/>
    <w:basedOn w:val="TableNormal"/>
    <w:uiPriority w:val="39"/>
    <w:rsid w:val="00EB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33E"/>
  </w:style>
  <w:style w:type="paragraph" w:styleId="Footer">
    <w:name w:val="footer"/>
    <w:basedOn w:val="Normal"/>
    <w:link w:val="FooterChar"/>
    <w:uiPriority w:val="99"/>
    <w:unhideWhenUsed/>
    <w:rsid w:val="003D1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33E"/>
  </w:style>
  <w:style w:type="paragraph" w:styleId="NormalWeb">
    <w:name w:val="Normal (Web)"/>
    <w:basedOn w:val="Normal"/>
    <w:uiPriority w:val="99"/>
    <w:unhideWhenUsed/>
    <w:rsid w:val="002410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952603"/>
  </w:style>
  <w:style w:type="character" w:styleId="Hyperlink">
    <w:name w:val="Hyperlink"/>
    <w:basedOn w:val="DefaultParagraphFont"/>
    <w:uiPriority w:val="99"/>
    <w:unhideWhenUsed/>
    <w:rsid w:val="007626FA"/>
    <w:rPr>
      <w:color w:val="0563C1" w:themeColor="hyperlink"/>
      <w:u w:val="single"/>
    </w:rPr>
  </w:style>
  <w:style w:type="character" w:styleId="UnresolvedMention">
    <w:name w:val="Unresolved Mention"/>
    <w:basedOn w:val="DefaultParagraphFont"/>
    <w:uiPriority w:val="99"/>
    <w:semiHidden/>
    <w:unhideWhenUsed/>
    <w:rsid w:val="007626FA"/>
    <w:rPr>
      <w:color w:val="605E5C"/>
      <w:shd w:val="clear" w:color="auto" w:fill="E1DFDD"/>
    </w:rPr>
  </w:style>
  <w:style w:type="character" w:styleId="FollowedHyperlink">
    <w:name w:val="FollowedHyperlink"/>
    <w:basedOn w:val="DefaultParagraphFont"/>
    <w:uiPriority w:val="99"/>
    <w:semiHidden/>
    <w:unhideWhenUsed/>
    <w:rsid w:val="001D51F1"/>
    <w:rPr>
      <w:color w:val="954F72" w:themeColor="followedHyperlink"/>
      <w:u w:val="single"/>
    </w:rPr>
  </w:style>
  <w:style w:type="paragraph" w:styleId="Revision">
    <w:name w:val="Revision"/>
    <w:hidden/>
    <w:uiPriority w:val="99"/>
    <w:semiHidden/>
    <w:rsid w:val="00F32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1774">
      <w:bodyDiv w:val="1"/>
      <w:marLeft w:val="0"/>
      <w:marRight w:val="0"/>
      <w:marTop w:val="0"/>
      <w:marBottom w:val="0"/>
      <w:divBdr>
        <w:top w:val="none" w:sz="0" w:space="0" w:color="auto"/>
        <w:left w:val="none" w:sz="0" w:space="0" w:color="auto"/>
        <w:bottom w:val="none" w:sz="0" w:space="0" w:color="auto"/>
        <w:right w:val="none" w:sz="0" w:space="0" w:color="auto"/>
      </w:divBdr>
    </w:div>
    <w:div w:id="440227141">
      <w:bodyDiv w:val="1"/>
      <w:marLeft w:val="0"/>
      <w:marRight w:val="0"/>
      <w:marTop w:val="0"/>
      <w:marBottom w:val="0"/>
      <w:divBdr>
        <w:top w:val="none" w:sz="0" w:space="0" w:color="auto"/>
        <w:left w:val="none" w:sz="0" w:space="0" w:color="auto"/>
        <w:bottom w:val="none" w:sz="0" w:space="0" w:color="auto"/>
        <w:right w:val="none" w:sz="0" w:space="0" w:color="auto"/>
      </w:divBdr>
    </w:div>
    <w:div w:id="947469414">
      <w:bodyDiv w:val="1"/>
      <w:marLeft w:val="0"/>
      <w:marRight w:val="0"/>
      <w:marTop w:val="0"/>
      <w:marBottom w:val="0"/>
      <w:divBdr>
        <w:top w:val="none" w:sz="0" w:space="0" w:color="auto"/>
        <w:left w:val="none" w:sz="0" w:space="0" w:color="auto"/>
        <w:bottom w:val="none" w:sz="0" w:space="0" w:color="auto"/>
        <w:right w:val="none" w:sz="0" w:space="0" w:color="auto"/>
      </w:divBdr>
    </w:div>
    <w:div w:id="1100762324">
      <w:bodyDiv w:val="1"/>
      <w:marLeft w:val="0"/>
      <w:marRight w:val="0"/>
      <w:marTop w:val="0"/>
      <w:marBottom w:val="0"/>
      <w:divBdr>
        <w:top w:val="none" w:sz="0" w:space="0" w:color="auto"/>
        <w:left w:val="none" w:sz="0" w:space="0" w:color="auto"/>
        <w:bottom w:val="none" w:sz="0" w:space="0" w:color="auto"/>
        <w:right w:val="none" w:sz="0" w:space="0" w:color="auto"/>
      </w:divBdr>
    </w:div>
    <w:div w:id="1312950046">
      <w:bodyDiv w:val="1"/>
      <w:marLeft w:val="0"/>
      <w:marRight w:val="0"/>
      <w:marTop w:val="0"/>
      <w:marBottom w:val="0"/>
      <w:divBdr>
        <w:top w:val="none" w:sz="0" w:space="0" w:color="auto"/>
        <w:left w:val="none" w:sz="0" w:space="0" w:color="auto"/>
        <w:bottom w:val="none" w:sz="0" w:space="0" w:color="auto"/>
        <w:right w:val="none" w:sz="0" w:space="0" w:color="auto"/>
      </w:divBdr>
    </w:div>
    <w:div w:id="1574582047">
      <w:bodyDiv w:val="1"/>
      <w:marLeft w:val="0"/>
      <w:marRight w:val="0"/>
      <w:marTop w:val="0"/>
      <w:marBottom w:val="0"/>
      <w:divBdr>
        <w:top w:val="none" w:sz="0" w:space="0" w:color="auto"/>
        <w:left w:val="none" w:sz="0" w:space="0" w:color="auto"/>
        <w:bottom w:val="none" w:sz="0" w:space="0" w:color="auto"/>
        <w:right w:val="none" w:sz="0" w:space="0" w:color="auto"/>
      </w:divBdr>
    </w:div>
    <w:div w:id="2013948797">
      <w:bodyDiv w:val="1"/>
      <w:marLeft w:val="0"/>
      <w:marRight w:val="0"/>
      <w:marTop w:val="0"/>
      <w:marBottom w:val="0"/>
      <w:divBdr>
        <w:top w:val="none" w:sz="0" w:space="0" w:color="auto"/>
        <w:left w:val="none" w:sz="0" w:space="0" w:color="auto"/>
        <w:bottom w:val="none" w:sz="0" w:space="0" w:color="auto"/>
        <w:right w:val="none" w:sz="0" w:space="0" w:color="auto"/>
      </w:divBdr>
    </w:div>
    <w:div w:id="2041130561">
      <w:bodyDiv w:val="1"/>
      <w:marLeft w:val="0"/>
      <w:marRight w:val="0"/>
      <w:marTop w:val="0"/>
      <w:marBottom w:val="0"/>
      <w:divBdr>
        <w:top w:val="none" w:sz="0" w:space="0" w:color="auto"/>
        <w:left w:val="none" w:sz="0" w:space="0" w:color="auto"/>
        <w:bottom w:val="none" w:sz="0" w:space="0" w:color="auto"/>
        <w:right w:val="none" w:sz="0" w:space="0" w:color="auto"/>
      </w:divBdr>
    </w:div>
    <w:div w:id="20647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aspa.us/wp-content/uploads/2017/03/Pharmacist-Statewide-Protocols-Key-Elements-for-Legislative-and-Regulatory-Authority.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ccp.com/docs/positions/whitePapers/CDTM%20CMM%202015%20Final.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p.com/docs/positions/misc/IB2CPA-ACCPPracticeAdvancemen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ccp.com/docs/positions/Commentaries/JACCP___JOURNAL_OF_THE_AMERICAN_COLLEGE_OF_CLINICAL_PHARMACY_-_2022_-__-_Key_state%E2%80%90level_policy_elements_governing.pdf" TargetMode="External"/><Relationship Id="rId4" Type="http://schemas.openxmlformats.org/officeDocument/2006/relationships/webSettings" Target="webSettings.xml"/><Relationship Id="rId9" Type="http://schemas.openxmlformats.org/officeDocument/2006/relationships/hyperlink" Target="https://www.cdc.gov/cardiovascular-resources/media/cpa-team-based-care.pdf" TargetMode="External"/><Relationship Id="rId14" Type="http://schemas.openxmlformats.org/officeDocument/2006/relationships/hyperlink" Target="https://www.accp.com/docs/about/American_College_of_Clinical_Pharmacy_CPA_template_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2165</Words>
  <Characters>14679</Characters>
  <Application>Microsoft Office Word</Application>
  <DocSecurity>0</DocSecurity>
  <Lines>358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Brooks</dc:creator>
  <cp:keywords/>
  <dc:description/>
  <cp:lastModifiedBy>Amie Brooks</cp:lastModifiedBy>
  <cp:revision>2</cp:revision>
  <dcterms:created xsi:type="dcterms:W3CDTF">2025-10-01T17:02:00Z</dcterms:created>
  <dcterms:modified xsi:type="dcterms:W3CDTF">2025-10-01T17:02:00Z</dcterms:modified>
</cp:coreProperties>
</file>