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E" w:rsidRDefault="00E45E4E" w:rsidP="00E45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ACCP StuNews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Case </w:t>
      </w:r>
    </w:p>
    <w:p w:rsidR="00E45E4E" w:rsidRDefault="00E45E4E" w:rsidP="00E45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Reviewed by 2016 ACCP Clinical Pharmacy Exam Panel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Vignette: A 33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woman</w:t>
      </w:r>
      <w:r w:rsidRPr="009E5F95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>s to the indigent county health clinic with a 4-</w:t>
      </w:r>
      <w:r w:rsidRPr="009E5F95">
        <w:rPr>
          <w:rFonts w:ascii="Times New Roman" w:hAnsi="Times New Roman" w:cs="Times New Roman"/>
          <w:sz w:val="24"/>
          <w:szCs w:val="24"/>
        </w:rPr>
        <w:t>day history of burning on urination and a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>day history of recu</w:t>
      </w:r>
      <w:r>
        <w:rPr>
          <w:rFonts w:ascii="Times New Roman" w:hAnsi="Times New Roman" w:cs="Times New Roman"/>
          <w:sz w:val="24"/>
          <w:szCs w:val="24"/>
        </w:rPr>
        <w:t>rrence of her genital herpes. O</w:t>
      </w:r>
      <w:r w:rsidRPr="009E5F95">
        <w:rPr>
          <w:rFonts w:ascii="Times New Roman" w:hAnsi="Times New Roman" w:cs="Times New Roman"/>
          <w:sz w:val="24"/>
          <w:szCs w:val="24"/>
        </w:rPr>
        <w:t>n physical examination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the medical resident note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 xml:space="preserve"> occasional coughing with blood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>streaked sputum.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Past Medical History: </w:t>
      </w:r>
      <w:r>
        <w:rPr>
          <w:rFonts w:ascii="Times New Roman" w:hAnsi="Times New Roman" w:cs="Times New Roman"/>
          <w:sz w:val="24"/>
          <w:szCs w:val="24"/>
        </w:rPr>
        <w:t>The patient tested</w:t>
      </w:r>
      <w:r w:rsidRPr="009E5F95">
        <w:rPr>
          <w:rFonts w:ascii="Times New Roman" w:hAnsi="Times New Roman" w:cs="Times New Roman"/>
          <w:sz w:val="24"/>
          <w:szCs w:val="24"/>
        </w:rPr>
        <w:t xml:space="preserve"> HIV positive 3 years ago when she presented with a sore on her labia and was </w:t>
      </w:r>
      <w:r>
        <w:rPr>
          <w:rFonts w:ascii="Times New Roman" w:hAnsi="Times New Roman" w:cs="Times New Roman"/>
          <w:sz w:val="24"/>
          <w:szCs w:val="24"/>
        </w:rPr>
        <w:t xml:space="preserve">given a </w:t>
      </w:r>
      <w:r w:rsidRPr="009E5F95">
        <w:rPr>
          <w:rFonts w:ascii="Times New Roman" w:hAnsi="Times New Roman" w:cs="Times New Roman"/>
          <w:sz w:val="24"/>
          <w:szCs w:val="24"/>
        </w:rPr>
        <w:t>diagnos</w:t>
      </w:r>
      <w:r>
        <w:rPr>
          <w:rFonts w:ascii="Times New Roman" w:hAnsi="Times New Roman" w:cs="Times New Roman"/>
          <w:sz w:val="24"/>
          <w:szCs w:val="24"/>
        </w:rPr>
        <w:t>is of</w:t>
      </w:r>
      <w:r w:rsidRPr="009E5F95">
        <w:rPr>
          <w:rFonts w:ascii="Times New Roman" w:hAnsi="Times New Roman" w:cs="Times New Roman"/>
          <w:sz w:val="24"/>
          <w:szCs w:val="24"/>
        </w:rPr>
        <w:t xml:space="preserve"> (and treated for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95">
        <w:rPr>
          <w:rFonts w:ascii="Times New Roman" w:hAnsi="Times New Roman" w:cs="Times New Roman"/>
          <w:sz w:val="24"/>
          <w:szCs w:val="24"/>
        </w:rPr>
        <w:t xml:space="preserve"> primary syphilis. She receives care at this clinic, but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Pr="009E5F95">
        <w:rPr>
          <w:rFonts w:ascii="Times New Roman" w:hAnsi="Times New Roman" w:cs="Times New Roman"/>
          <w:sz w:val="24"/>
          <w:szCs w:val="24"/>
        </w:rPr>
        <w:t xml:space="preserve">has repeatedly declined treatment for HIV. She has herpes recurrences </w:t>
      </w:r>
      <w:r>
        <w:rPr>
          <w:rFonts w:ascii="Times New Roman" w:hAnsi="Times New Roman" w:cs="Times New Roman"/>
          <w:sz w:val="24"/>
          <w:szCs w:val="24"/>
        </w:rPr>
        <w:t>about every other month.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Social History: The patient admits being a sex worker for the past 10 years and declines any offer for job/skill training programs. She admits that she uses protection during sex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9E5F95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her clients request it</w:t>
      </w:r>
      <w:r w:rsidRPr="009E5F95">
        <w:rPr>
          <w:rFonts w:ascii="Times New Roman" w:hAnsi="Times New Roman" w:cs="Times New Roman"/>
          <w:sz w:val="24"/>
          <w:szCs w:val="24"/>
        </w:rPr>
        <w:t>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Tobacco: 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 xml:space="preserve">year history;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5F95">
        <w:rPr>
          <w:rFonts w:ascii="Times New Roman" w:hAnsi="Times New Roman" w:cs="Times New Roman"/>
          <w:sz w:val="24"/>
          <w:szCs w:val="24"/>
        </w:rPr>
        <w:t>lcohol: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5F95">
        <w:rPr>
          <w:rFonts w:ascii="Times New Roman" w:hAnsi="Times New Roman" w:cs="Times New Roman"/>
          <w:sz w:val="24"/>
          <w:szCs w:val="24"/>
        </w:rPr>
        <w:t>5 strong cocktails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5F95">
        <w:rPr>
          <w:rFonts w:ascii="Times New Roman" w:hAnsi="Times New Roman" w:cs="Times New Roman"/>
          <w:sz w:val="24"/>
          <w:szCs w:val="24"/>
        </w:rPr>
        <w:t xml:space="preserve">7 nights a week;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5F95">
        <w:rPr>
          <w:rFonts w:ascii="Times New Roman" w:hAnsi="Times New Roman" w:cs="Times New Roman"/>
          <w:sz w:val="24"/>
          <w:szCs w:val="24"/>
        </w:rPr>
        <w:t xml:space="preserve">enies using any recreational/illicit drugs for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>ast 3 years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Current Medications: Acyclovir 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twice daily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5 days during an outbreak (last filled 1 year ago);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E5F95">
        <w:rPr>
          <w:rFonts w:ascii="Times New Roman" w:hAnsi="Times New Roman" w:cs="Times New Roman"/>
          <w:sz w:val="24"/>
          <w:szCs w:val="24"/>
        </w:rPr>
        <w:t>rimethoprim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F95">
        <w:rPr>
          <w:rFonts w:ascii="Times New Roman" w:hAnsi="Times New Roman" w:cs="Times New Roman"/>
          <w:sz w:val="24"/>
          <w:szCs w:val="24"/>
        </w:rPr>
        <w:t xml:space="preserve"> tablet orally every other day (not prescribed, sharing a friend’s prescription);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E5F95">
        <w:rPr>
          <w:rFonts w:ascii="Times New Roman" w:hAnsi="Times New Roman" w:cs="Times New Roman"/>
          <w:sz w:val="24"/>
          <w:szCs w:val="24"/>
        </w:rPr>
        <w:t>buprofen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2 tablets as needed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9E5F95">
        <w:rPr>
          <w:rFonts w:ascii="Times New Roman" w:hAnsi="Times New Roman" w:cs="Times New Roman"/>
          <w:sz w:val="24"/>
          <w:szCs w:val="24"/>
        </w:rPr>
        <w:t>headache/hangover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Allergies: Cat dander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Vital Signs: </w:t>
      </w:r>
      <w:r>
        <w:rPr>
          <w:rFonts w:ascii="Times New Roman" w:hAnsi="Times New Roman" w:cs="Times New Roman"/>
          <w:sz w:val="24"/>
          <w:szCs w:val="24"/>
        </w:rPr>
        <w:t>Height 168 cm; weight 50 kg</w:t>
      </w:r>
      <w:r w:rsidRPr="009E5F95">
        <w:rPr>
          <w:rFonts w:ascii="Times New Roman" w:hAnsi="Times New Roman" w:cs="Times New Roman"/>
          <w:sz w:val="24"/>
          <w:szCs w:val="24"/>
        </w:rPr>
        <w:t xml:space="preserve">; HR 82 beats/minute; </w:t>
      </w:r>
      <w:r>
        <w:rPr>
          <w:rFonts w:ascii="Times New Roman" w:hAnsi="Times New Roman" w:cs="Times New Roman"/>
          <w:sz w:val="24"/>
          <w:szCs w:val="24"/>
        </w:rPr>
        <w:t>BP</w:t>
      </w:r>
      <w:r w:rsidRPr="009E5F95">
        <w:rPr>
          <w:rFonts w:ascii="Times New Roman" w:hAnsi="Times New Roman" w:cs="Times New Roman"/>
          <w:sz w:val="24"/>
          <w:szCs w:val="24"/>
        </w:rPr>
        <w:t xml:space="preserve"> 124/76 mm Hg; Temp 100.6°F</w:t>
      </w:r>
      <w:r>
        <w:rPr>
          <w:rFonts w:ascii="Times New Roman" w:hAnsi="Times New Roman" w:cs="Times New Roman"/>
          <w:sz w:val="24"/>
          <w:szCs w:val="24"/>
        </w:rPr>
        <w:t xml:space="preserve"> (38.1</w:t>
      </w:r>
      <w:r w:rsidRPr="009E5F95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C)</w:t>
      </w:r>
      <w:r w:rsidRPr="009E5F95">
        <w:rPr>
          <w:rFonts w:ascii="Times New Roman" w:hAnsi="Times New Roman" w:cs="Times New Roman"/>
          <w:sz w:val="24"/>
          <w:szCs w:val="24"/>
        </w:rPr>
        <w:t>; RR 25 breaths/minute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Laboratory Values: Urine: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+ </w:t>
      </w:r>
      <w:r w:rsidRPr="005B2479">
        <w:rPr>
          <w:rFonts w:ascii="Times New Roman" w:hAnsi="Times New Roman" w:cs="Times New Roman"/>
          <w:i/>
          <w:sz w:val="24"/>
          <w:szCs w:val="24"/>
        </w:rPr>
        <w:t xml:space="preserve">Neisseria </w:t>
      </w:r>
      <w:proofErr w:type="spellStart"/>
      <w:r w:rsidRPr="005B2479"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(by</w:t>
      </w:r>
      <w:r>
        <w:rPr>
          <w:rFonts w:ascii="Times New Roman" w:hAnsi="Times New Roman" w:cs="Times New Roman"/>
          <w:sz w:val="24"/>
          <w:szCs w:val="24"/>
        </w:rPr>
        <w:t xml:space="preserve"> NAAT [</w:t>
      </w:r>
      <w:r w:rsidRPr="009E5F95">
        <w:rPr>
          <w:rFonts w:ascii="Times New Roman" w:hAnsi="Times New Roman" w:cs="Times New Roman"/>
          <w:sz w:val="24"/>
          <w:szCs w:val="24"/>
        </w:rPr>
        <w:t xml:space="preserve">nucleic acid amplification test] assay);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 xml:space="preserve">putum: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5F95">
        <w:rPr>
          <w:rFonts w:ascii="Times New Roman" w:hAnsi="Times New Roman" w:cs="Times New Roman"/>
          <w:sz w:val="24"/>
          <w:szCs w:val="24"/>
        </w:rPr>
        <w:t>cid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 xml:space="preserve">fast bacilli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 xml:space="preserve">ositive, mycobacterial species pending; </w:t>
      </w:r>
      <w:r>
        <w:rPr>
          <w:rFonts w:ascii="Times New Roman" w:hAnsi="Times New Roman" w:cs="Times New Roman"/>
          <w:sz w:val="24"/>
          <w:szCs w:val="24"/>
        </w:rPr>
        <w:t>BUN/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r w:rsidRPr="009E5F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E5F95">
        <w:rPr>
          <w:rFonts w:ascii="Times New Roman" w:hAnsi="Times New Roman" w:cs="Times New Roman"/>
          <w:sz w:val="24"/>
          <w:szCs w:val="24"/>
        </w:rPr>
        <w:t>atio: 30 mg/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/1.5 mg/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(10.7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/L/132.6 micromoles/L)</w:t>
      </w:r>
      <w:r w:rsidRPr="009E5F95">
        <w:rPr>
          <w:rFonts w:ascii="Times New Roman" w:hAnsi="Times New Roman" w:cs="Times New Roman"/>
          <w:sz w:val="24"/>
          <w:szCs w:val="24"/>
        </w:rPr>
        <w:t>; WBC: 16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 w:rsidRPr="007568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cells/mm</w:t>
      </w:r>
      <w:r w:rsidRPr="007568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(16 x10</w:t>
      </w:r>
      <w:r w:rsidRPr="0032765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/L)- </w:t>
      </w:r>
      <w:r w:rsidRPr="009E5F95">
        <w:rPr>
          <w:rFonts w:ascii="Times New Roman" w:hAnsi="Times New Roman" w:cs="Times New Roman"/>
          <w:sz w:val="24"/>
          <w:szCs w:val="24"/>
        </w:rPr>
        <w:t>with left shift; CD4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 xml:space="preserve"> 102 cells/mL; HIV-RNA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E5F95">
        <w:rPr>
          <w:rFonts w:ascii="Times New Roman" w:hAnsi="Times New Roman" w:cs="Times New Roman"/>
          <w:sz w:val="24"/>
          <w:szCs w:val="24"/>
        </w:rPr>
        <w:t xml:space="preserve">iral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E5F95">
        <w:rPr>
          <w:rFonts w:ascii="Times New Roman" w:hAnsi="Times New Roman" w:cs="Times New Roman"/>
          <w:sz w:val="24"/>
          <w:szCs w:val="24"/>
        </w:rPr>
        <w:t>oad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 xml:space="preserve"> 257,250 copies/mL; HIV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E5F95">
        <w:rPr>
          <w:rFonts w:ascii="Times New Roman" w:hAnsi="Times New Roman" w:cs="Times New Roman"/>
          <w:sz w:val="24"/>
          <w:szCs w:val="24"/>
        </w:rPr>
        <w:t>enotype from 2 years ago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E5F95">
        <w:rPr>
          <w:rFonts w:ascii="Times New Roman" w:hAnsi="Times New Roman" w:cs="Times New Roman"/>
          <w:sz w:val="24"/>
          <w:szCs w:val="24"/>
        </w:rPr>
        <w:t>ild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9E5F95">
        <w:rPr>
          <w:rFonts w:ascii="Times New Roman" w:hAnsi="Times New Roman" w:cs="Times New Roman"/>
          <w:sz w:val="24"/>
          <w:szCs w:val="24"/>
        </w:rPr>
        <w:t>ype virus;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E5F95">
        <w:rPr>
          <w:rFonts w:ascii="Times New Roman" w:hAnsi="Times New Roman" w:cs="Times New Roman"/>
          <w:sz w:val="24"/>
          <w:szCs w:val="24"/>
        </w:rPr>
        <w:t xml:space="preserve">apid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 xml:space="preserve">lasmin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E5F95">
        <w:rPr>
          <w:rFonts w:ascii="Times New Roman" w:hAnsi="Times New Roman" w:cs="Times New Roman"/>
          <w:sz w:val="24"/>
          <w:szCs w:val="24"/>
        </w:rPr>
        <w:t>eagin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(RPR)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 xml:space="preserve"> 1:1 (no change over </w:t>
      </w:r>
      <w:r>
        <w:rPr>
          <w:rFonts w:ascii="Times New Roman" w:hAnsi="Times New Roman" w:cs="Times New Roman"/>
          <w:sz w:val="24"/>
          <w:szCs w:val="24"/>
        </w:rPr>
        <w:t>the p</w:t>
      </w:r>
      <w:r w:rsidRPr="009E5F95">
        <w:rPr>
          <w:rFonts w:ascii="Times New Roman" w:hAnsi="Times New Roman" w:cs="Times New Roman"/>
          <w:sz w:val="24"/>
          <w:szCs w:val="24"/>
        </w:rPr>
        <w:t>ast 2 years)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E5F95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oratory Result</w:t>
      </w:r>
      <w:r w:rsidRPr="009E5F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 xml:space="preserve"> WNL</w:t>
      </w:r>
      <w:r>
        <w:rPr>
          <w:rFonts w:ascii="Times New Roman" w:hAnsi="Times New Roman" w:cs="Times New Roman"/>
          <w:sz w:val="24"/>
          <w:szCs w:val="24"/>
        </w:rPr>
        <w:t xml:space="preserve"> (within normal limits)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b/>
          <w:sz w:val="24"/>
          <w:szCs w:val="24"/>
        </w:rPr>
        <w:t xml:space="preserve">Question 1 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The patient has agreed to start therapy for her HIV infection, but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Pr="009E5F95">
        <w:rPr>
          <w:rFonts w:ascii="Times New Roman" w:hAnsi="Times New Roman" w:cs="Times New Roman"/>
          <w:sz w:val="24"/>
          <w:szCs w:val="24"/>
        </w:rPr>
        <w:t xml:space="preserve">would prefer to minimize the number of tablets taken per day. Which combination of antiretroviral agents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E5F95">
        <w:rPr>
          <w:rFonts w:ascii="Times New Roman" w:hAnsi="Times New Roman" w:cs="Times New Roman"/>
          <w:sz w:val="24"/>
          <w:szCs w:val="24"/>
        </w:rPr>
        <w:t xml:space="preserve"> available as </w:t>
      </w:r>
      <w:r>
        <w:rPr>
          <w:rFonts w:ascii="Times New Roman" w:hAnsi="Times New Roman" w:cs="Times New Roman"/>
          <w:sz w:val="24"/>
          <w:szCs w:val="24"/>
        </w:rPr>
        <w:t>a 1-</w:t>
      </w:r>
      <w:r w:rsidRPr="009E5F95">
        <w:rPr>
          <w:rFonts w:ascii="Times New Roman" w:hAnsi="Times New Roman" w:cs="Times New Roman"/>
          <w:sz w:val="24"/>
          <w:szCs w:val="24"/>
        </w:rPr>
        <w:t>tablet, once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>daily dosing option?</w:t>
      </w:r>
    </w:p>
    <w:p w:rsidR="00F36D0F" w:rsidRPr="009E5F95" w:rsidRDefault="00F36D0F" w:rsidP="00F36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fumarate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5F95"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95">
        <w:rPr>
          <w:rFonts w:ascii="Times New Roman" w:hAnsi="Times New Roman" w:cs="Times New Roman"/>
          <w:sz w:val="24"/>
          <w:szCs w:val="24"/>
        </w:rPr>
        <w:t>, lamivudine</w:t>
      </w:r>
    </w:p>
    <w:p w:rsidR="00F36D0F" w:rsidRPr="009E5F95" w:rsidRDefault="00F36D0F" w:rsidP="00F36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abacavir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emtricitabine</w:t>
      </w:r>
      <w:proofErr w:type="spellEnd"/>
    </w:p>
    <w:p w:rsidR="00F36D0F" w:rsidRPr="009E5F95" w:rsidRDefault="00F36D0F" w:rsidP="00F36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cobicistat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alafenamide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emtricitabine</w:t>
      </w:r>
      <w:proofErr w:type="spellEnd"/>
    </w:p>
    <w:p w:rsidR="00F36D0F" w:rsidRPr="009E5F95" w:rsidRDefault="00F36D0F" w:rsidP="00F36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cobicistat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DF, lamivudine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cobicistat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alafenamide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emtricitabine</w:t>
      </w:r>
      <w:proofErr w:type="spell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Rationale: The combination represented in option 3 is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Genvoya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, a marketed comb</w:t>
      </w:r>
      <w:r>
        <w:rPr>
          <w:rFonts w:ascii="Times New Roman" w:hAnsi="Times New Roman" w:cs="Times New Roman"/>
          <w:sz w:val="24"/>
          <w:szCs w:val="24"/>
        </w:rPr>
        <w:t>ination</w:t>
      </w:r>
      <w:r w:rsidRPr="009E5F95">
        <w:rPr>
          <w:rFonts w:ascii="Times New Roman" w:hAnsi="Times New Roman" w:cs="Times New Roman"/>
          <w:sz w:val="24"/>
          <w:szCs w:val="24"/>
        </w:rPr>
        <w:t xml:space="preserve"> tablet that is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Pr="009E5F95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daily</w:t>
      </w:r>
      <w:r w:rsidRPr="009E5F95">
        <w:rPr>
          <w:rFonts w:ascii="Times New Roman" w:hAnsi="Times New Roman" w:cs="Times New Roman"/>
          <w:sz w:val="24"/>
          <w:szCs w:val="24"/>
        </w:rPr>
        <w:t>. Options 1, 2, and 4 do not exist as comb</w:t>
      </w:r>
      <w:r>
        <w:rPr>
          <w:rFonts w:ascii="Times New Roman" w:hAnsi="Times New Roman" w:cs="Times New Roman"/>
          <w:sz w:val="24"/>
          <w:szCs w:val="24"/>
        </w:rPr>
        <w:t>ination</w:t>
      </w:r>
      <w:r w:rsidRPr="009E5F95">
        <w:rPr>
          <w:rFonts w:ascii="Times New Roman" w:hAnsi="Times New Roman" w:cs="Times New Roman"/>
          <w:sz w:val="24"/>
          <w:szCs w:val="24"/>
        </w:rPr>
        <w:t xml:space="preserve"> products.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 (DHHS). </w:t>
      </w:r>
      <w:proofErr w:type="gramStart"/>
      <w:r w:rsidRPr="0043064C"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>Guidelines for the Use of Antiretroviral Agents in HIV-1-Infected Adults and Adolescents</w:t>
      </w:r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>.</w:t>
      </w:r>
      <w:proofErr w:type="gramEnd"/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January 28, 2016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E5F9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E5F95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 xml:space="preserve">Available at </w:t>
      </w:r>
      <w:r>
        <w:rPr>
          <w:rFonts w:ascii="Times New Roman" w:hAnsi="Times New Roman" w:cs="Times New Roman"/>
          <w:color w:val="0000FF"/>
          <w:sz w:val="24"/>
          <w:szCs w:val="24"/>
        </w:rPr>
        <w:t>http://aidsinfo.nih.gov/guidelines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b/>
          <w:sz w:val="24"/>
          <w:szCs w:val="24"/>
        </w:rPr>
        <w:t>Question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Which regimen is recommended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E5F95">
        <w:rPr>
          <w:rFonts w:ascii="Times New Roman" w:hAnsi="Times New Roman" w:cs="Times New Roman"/>
          <w:sz w:val="24"/>
          <w:szCs w:val="24"/>
        </w:rPr>
        <w:t xml:space="preserve"> prophylaxis for opportunistic infections in this patient?</w:t>
      </w:r>
    </w:p>
    <w:p w:rsidR="00F36D0F" w:rsidRPr="009E5F95" w:rsidRDefault="00F36D0F" w:rsidP="00F36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Trimethoprim/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double strength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5F95">
        <w:rPr>
          <w:rFonts w:ascii="Times New Roman" w:hAnsi="Times New Roman" w:cs="Times New Roman"/>
          <w:sz w:val="24"/>
          <w:szCs w:val="24"/>
        </w:rPr>
        <w:t>S) 1 tablet daily</w:t>
      </w:r>
    </w:p>
    <w:p w:rsidR="00F36D0F" w:rsidRPr="009E5F95" w:rsidRDefault="00F36D0F" w:rsidP="00F36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Trimethoprim/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DS 1 tablet daily, fluconazole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once daily</w:t>
      </w:r>
    </w:p>
    <w:p w:rsidR="00F36D0F" w:rsidRPr="009E5F95" w:rsidRDefault="00F36D0F" w:rsidP="00F36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Trimethoprim/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DS 1 tablet daily, azithromycin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g orally once weekly</w:t>
      </w:r>
    </w:p>
    <w:p w:rsidR="00F36D0F" w:rsidRPr="009E5F95" w:rsidRDefault="00F36D0F" w:rsidP="00F36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Trimethoprim/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DS 1 tablet daily, fluconazole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daily, azithromycin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g orally once weekly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Trimethoprim/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E5F95">
        <w:rPr>
          <w:rFonts w:ascii="Times New Roman" w:hAnsi="Times New Roman" w:cs="Times New Roman"/>
          <w:sz w:val="24"/>
          <w:szCs w:val="24"/>
        </w:rPr>
        <w:t>ulfamethoxazole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DS 1 tablet daily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Rationale: Current guidelines recommend prophylaxis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9E5F95">
        <w:rPr>
          <w:rFonts w:ascii="Times New Roman" w:hAnsi="Times New Roman" w:cs="Times New Roman"/>
          <w:sz w:val="24"/>
          <w:szCs w:val="24"/>
        </w:rPr>
        <w:t xml:space="preserve">for </w:t>
      </w:r>
      <w:r w:rsidRPr="00A97AD7">
        <w:rPr>
          <w:rFonts w:ascii="Times New Roman" w:hAnsi="Times New Roman" w:cs="Times New Roman"/>
          <w:i/>
          <w:sz w:val="24"/>
          <w:szCs w:val="24"/>
        </w:rPr>
        <w:t xml:space="preserve">Pneumocystis </w:t>
      </w:r>
      <w:proofErr w:type="spellStart"/>
      <w:r w:rsidRPr="00A97AD7">
        <w:rPr>
          <w:rFonts w:ascii="Times New Roman" w:hAnsi="Times New Roman" w:cs="Times New Roman"/>
          <w:i/>
          <w:sz w:val="24"/>
          <w:szCs w:val="24"/>
        </w:rPr>
        <w:t>jiroveci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in this patient. Guidelines do not recommend primary prophylaxis for </w:t>
      </w:r>
      <w:r w:rsidRPr="005B2479">
        <w:rPr>
          <w:rFonts w:ascii="Times New Roman" w:hAnsi="Times New Roman" w:cs="Times New Roman"/>
          <w:i/>
          <w:sz w:val="24"/>
          <w:szCs w:val="24"/>
        </w:rPr>
        <w:t>Candida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5F95">
        <w:rPr>
          <w:rFonts w:ascii="Times New Roman" w:hAnsi="Times New Roman" w:cs="Times New Roman"/>
          <w:sz w:val="24"/>
          <w:szCs w:val="24"/>
        </w:rPr>
        <w:t xml:space="preserve"> thus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fluconazole is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E5F95">
        <w:rPr>
          <w:rFonts w:ascii="Times New Roman" w:hAnsi="Times New Roman" w:cs="Times New Roman"/>
          <w:sz w:val="24"/>
          <w:szCs w:val="24"/>
        </w:rPr>
        <w:t xml:space="preserve">appropriate. </w:t>
      </w:r>
      <w:r w:rsidRPr="005B2479">
        <w:rPr>
          <w:rFonts w:ascii="Times New Roman" w:hAnsi="Times New Roman" w:cs="Times New Roman"/>
          <w:i/>
          <w:sz w:val="24"/>
          <w:szCs w:val="24"/>
        </w:rPr>
        <w:t xml:space="preserve">Mycobacterium </w:t>
      </w:r>
      <w:proofErr w:type="spellStart"/>
      <w:r w:rsidRPr="005B2479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complex prophylaxis should not be initiated</w:t>
      </w:r>
      <w:r>
        <w:rPr>
          <w:rFonts w:ascii="Times New Roman" w:hAnsi="Times New Roman" w:cs="Times New Roman"/>
          <w:sz w:val="24"/>
          <w:szCs w:val="24"/>
        </w:rPr>
        <w:t xml:space="preserve"> unless the CD4 is </w:t>
      </w:r>
      <w:proofErr w:type="gramStart"/>
      <w:r>
        <w:rPr>
          <w:rFonts w:ascii="Times New Roman" w:hAnsi="Times New Roman" w:cs="Times New Roman"/>
          <w:sz w:val="24"/>
          <w:szCs w:val="24"/>
        </w:rPr>
        <w:t>less than</w:t>
      </w:r>
      <w:r w:rsidRPr="009E5F9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cells/mL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9E5F95">
        <w:rPr>
          <w:rFonts w:ascii="Times New Roman" w:hAnsi="Times New Roman" w:cs="Times New Roman"/>
          <w:sz w:val="24"/>
          <w:szCs w:val="24"/>
        </w:rPr>
        <w:t xml:space="preserve"> thus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azithromycin is not needed.</w:t>
      </w:r>
    </w:p>
    <w:p w:rsidR="00F36D0F" w:rsidRPr="009E5F95" w:rsidRDefault="00F36D0F" w:rsidP="00F3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>U.S. Department of Health and Human Services (</w:t>
      </w:r>
      <w:r w:rsidRPr="009E5F95">
        <w:rPr>
          <w:rFonts w:ascii="Times New Roman" w:hAnsi="Times New Roman" w:cs="Times New Roman"/>
          <w:sz w:val="24"/>
          <w:szCs w:val="24"/>
        </w:rPr>
        <w:t>DHHS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28D9">
        <w:rPr>
          <w:rFonts w:ascii="Times New Roman" w:hAnsi="Times New Roman" w:cs="Times New Roman"/>
          <w:sz w:val="24"/>
          <w:szCs w:val="24"/>
        </w:rPr>
        <w:t>.</w:t>
      </w:r>
      <w:r w:rsidRPr="005B2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2479">
        <w:rPr>
          <w:rFonts w:ascii="Times New Roman" w:hAnsi="Times New Roman" w:cs="Times New Roman"/>
          <w:bCs/>
          <w:sz w:val="24"/>
          <w:szCs w:val="24"/>
        </w:rPr>
        <w:t>Guidelines for Prevention and Treatment of Opportunistic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479">
        <w:rPr>
          <w:rFonts w:ascii="Times New Roman" w:hAnsi="Times New Roman" w:cs="Times New Roman"/>
          <w:bCs/>
          <w:sz w:val="24"/>
          <w:szCs w:val="24"/>
        </w:rPr>
        <w:t>Infections in HIV-Infected Adults and Adolescents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17, 2015</w:t>
      </w:r>
      <w:proofErr w:type="gramStart"/>
      <w:r>
        <w:rPr>
          <w:rFonts w:ascii="Times New Roman" w:hAnsi="Times New Roman" w:cs="Times New Roman"/>
          <w:sz w:val="24"/>
          <w:szCs w:val="24"/>
        </w:rPr>
        <w:t>:B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-8, G-5, L-2.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Available at </w:t>
      </w:r>
      <w:hyperlink r:id="rId6" w:history="1">
        <w:r w:rsidRPr="00031C11">
          <w:rPr>
            <w:rStyle w:val="Hyperlink"/>
            <w:rFonts w:ascii="Times New Roman" w:hAnsi="Times New Roman" w:cs="Times New Roman"/>
            <w:sz w:val="24"/>
            <w:szCs w:val="24"/>
          </w:rPr>
          <w:t>http://aidsinfo.nih.gov/guidelines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b/>
          <w:sz w:val="24"/>
          <w:szCs w:val="24"/>
        </w:rPr>
        <w:t>Question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Which is the best regimen to treat her current non-HIV sexually transmitted infections?</w:t>
      </w:r>
    </w:p>
    <w:p w:rsidR="00F36D0F" w:rsidRPr="009E5F95" w:rsidRDefault="00F36D0F" w:rsidP="00F36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Ceftriaxone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intramuscularly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5F95">
        <w:rPr>
          <w:rFonts w:ascii="Times New Roman" w:hAnsi="Times New Roman" w:cs="Times New Roman"/>
          <w:sz w:val="24"/>
          <w:szCs w:val="24"/>
        </w:rPr>
        <w:t>nce,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E5F95">
        <w:rPr>
          <w:rFonts w:ascii="Times New Roman" w:hAnsi="Times New Roman" w:cs="Times New Roman"/>
          <w:sz w:val="24"/>
          <w:szCs w:val="24"/>
        </w:rPr>
        <w:t>zithromycin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g orally once, and acyclovir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twice daily</w:t>
      </w:r>
    </w:p>
    <w:p w:rsidR="00F36D0F" w:rsidRPr="009E5F95" w:rsidRDefault="00F36D0F" w:rsidP="00F36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Ceftriaxone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intramuscularly</w:t>
      </w:r>
      <w:r>
        <w:rPr>
          <w:rFonts w:ascii="Times New Roman" w:hAnsi="Times New Roman" w:cs="Times New Roman"/>
          <w:sz w:val="24"/>
          <w:szCs w:val="24"/>
        </w:rPr>
        <w:t xml:space="preserve"> once, a</w:t>
      </w:r>
      <w:r w:rsidRPr="009E5F95">
        <w:rPr>
          <w:rFonts w:ascii="Times New Roman" w:hAnsi="Times New Roman" w:cs="Times New Roman"/>
          <w:sz w:val="24"/>
          <w:szCs w:val="24"/>
        </w:rPr>
        <w:t>zithromycin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g orally once, and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famciclovir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mg orally twice daily</w:t>
      </w:r>
    </w:p>
    <w:p w:rsidR="00F36D0F" w:rsidRPr="009E5F95" w:rsidRDefault="00F36D0F" w:rsidP="00F36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Ceftriaxone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 intramuscularly once,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>enicillin G 2.4 million units intramuscularly,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famciclovir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twice daily</w:t>
      </w:r>
    </w:p>
    <w:p w:rsidR="00F36D0F" w:rsidRPr="009E5F95" w:rsidRDefault="00F36D0F" w:rsidP="00F36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Ceftriaxone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 intramuscularly once,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>enicillin G 2.4 million units intramuscularly, and acyclovir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 orally twice daily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1. Ceftriaxone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 intramuscularly once,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5F95">
        <w:rPr>
          <w:rFonts w:ascii="Times New Roman" w:hAnsi="Times New Roman" w:cs="Times New Roman"/>
          <w:sz w:val="24"/>
          <w:szCs w:val="24"/>
        </w:rPr>
        <w:t>zithromycin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g orally once, and acyclovir 400</w:t>
      </w:r>
      <w:r>
        <w:rPr>
          <w:rFonts w:ascii="Times New Roman" w:hAnsi="Times New Roman" w:cs="Times New Roman"/>
          <w:sz w:val="24"/>
          <w:szCs w:val="24"/>
        </w:rPr>
        <w:t xml:space="preserve"> mg orally twice daily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Rationale: </w:t>
      </w:r>
      <w:r w:rsidRPr="00B72951">
        <w:rPr>
          <w:rFonts w:ascii="Times New Roman" w:hAnsi="Times New Roman" w:cs="Times New Roman"/>
          <w:sz w:val="24"/>
          <w:szCs w:val="24"/>
        </w:rPr>
        <w:t xml:space="preserve">The patient needs to be treated for N. </w:t>
      </w:r>
      <w:proofErr w:type="spellStart"/>
      <w:r w:rsidRPr="00B72951">
        <w:rPr>
          <w:rFonts w:ascii="Times New Roman" w:hAnsi="Times New Roman" w:cs="Times New Roman"/>
          <w:sz w:val="24"/>
          <w:szCs w:val="24"/>
        </w:rPr>
        <w:t>gonorrhoeae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1">
        <w:rPr>
          <w:rFonts w:ascii="Times New Roman" w:hAnsi="Times New Roman" w:cs="Times New Roman"/>
          <w:sz w:val="24"/>
          <w:szCs w:val="24"/>
        </w:rPr>
        <w:t>and empirically for Chlamydia (according to the CDC STD guidelines). The patient should also receive suppressive therapy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51">
        <w:rPr>
          <w:rFonts w:ascii="Times New Roman" w:hAnsi="Times New Roman" w:cs="Times New Roman"/>
          <w:sz w:val="24"/>
          <w:szCs w:val="24"/>
        </w:rPr>
        <w:t>herpes simplex virus (</w:t>
      </w:r>
      <w:r>
        <w:rPr>
          <w:rFonts w:ascii="Times New Roman" w:hAnsi="Times New Roman" w:cs="Times New Roman"/>
          <w:sz w:val="24"/>
          <w:szCs w:val="24"/>
        </w:rPr>
        <w:t xml:space="preserve">episodic </w:t>
      </w:r>
      <w:r w:rsidRPr="00B72951">
        <w:rPr>
          <w:rFonts w:ascii="Times New Roman" w:hAnsi="Times New Roman" w:cs="Times New Roman"/>
          <w:sz w:val="24"/>
          <w:szCs w:val="24"/>
        </w:rPr>
        <w:t xml:space="preserve">treatment for recurrent genital herpes infections is not indicated unless it's begun within 1 day of symptom onset). Option 1 is correct because it appropriately treats these three pathogens. Option 2 is incorrect because the dosing of </w:t>
      </w:r>
      <w:proofErr w:type="spellStart"/>
      <w:r w:rsidRPr="00B72951">
        <w:rPr>
          <w:rFonts w:ascii="Times New Roman" w:hAnsi="Times New Roman" w:cs="Times New Roman"/>
          <w:sz w:val="24"/>
          <w:szCs w:val="24"/>
        </w:rPr>
        <w:t>famciclovir</w:t>
      </w:r>
      <w:proofErr w:type="spellEnd"/>
      <w:r w:rsidRPr="00B72951">
        <w:rPr>
          <w:rFonts w:ascii="Times New Roman" w:hAnsi="Times New Roman" w:cs="Times New Roman"/>
          <w:sz w:val="24"/>
          <w:szCs w:val="24"/>
        </w:rPr>
        <w:t xml:space="preserve"> is inaccurate (should be 250 mg twice daily for suppressive therapy); moreover, it would be a more expensive treatment regimen. Options 3 and 4 are incorrect because there is presently no indication for penicillin therapy. She has no indication of active syphilis infection (RPR stable at 1:1 for the past year). In addition, option 3 is incorrect because the dosing of </w:t>
      </w:r>
      <w:proofErr w:type="spellStart"/>
      <w:r w:rsidRPr="00B72951">
        <w:rPr>
          <w:rFonts w:ascii="Times New Roman" w:hAnsi="Times New Roman" w:cs="Times New Roman"/>
          <w:sz w:val="24"/>
          <w:szCs w:val="24"/>
        </w:rPr>
        <w:t>famciclovir</w:t>
      </w:r>
      <w:proofErr w:type="spellEnd"/>
      <w:r w:rsidRPr="00B72951">
        <w:rPr>
          <w:rFonts w:ascii="Times New Roman" w:hAnsi="Times New Roman" w:cs="Times New Roman"/>
          <w:sz w:val="24"/>
          <w:szCs w:val="24"/>
        </w:rPr>
        <w:t xml:space="preserve"> is inaccurate. </w:t>
      </w:r>
    </w:p>
    <w:p w:rsidR="00F36D0F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CDC. </w:t>
      </w:r>
      <w:proofErr w:type="gramStart"/>
      <w:r w:rsidRPr="009E5F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exually Transmitted Diseases Treatment </w:t>
      </w:r>
      <w:r w:rsidRPr="009E5F95">
        <w:rPr>
          <w:rFonts w:ascii="Times New Roman" w:hAnsi="Times New Roman" w:cs="Times New Roman"/>
          <w:sz w:val="24"/>
          <w:szCs w:val="24"/>
        </w:rPr>
        <w:t xml:space="preserve">Guidelines, </w:t>
      </w:r>
      <w:r>
        <w:rPr>
          <w:rFonts w:ascii="Times New Roman" w:hAnsi="Times New Roman" w:cs="Times New Roman"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MMWR 2015</w:t>
      </w:r>
      <w:proofErr w:type="gramStart"/>
      <w:r>
        <w:rPr>
          <w:rFonts w:ascii="Times New Roman" w:hAnsi="Times New Roman" w:cs="Times New Roman"/>
          <w:sz w:val="24"/>
          <w:szCs w:val="24"/>
        </w:rPr>
        <w:t>;64:</w:t>
      </w:r>
      <w:r w:rsidRPr="009E5F95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D0F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b/>
          <w:sz w:val="24"/>
          <w:szCs w:val="24"/>
        </w:rPr>
        <w:t>Question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The physicians want to 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9E5F95">
        <w:rPr>
          <w:rFonts w:ascii="Times New Roman" w:hAnsi="Times New Roman" w:cs="Times New Roman"/>
          <w:sz w:val="24"/>
          <w:szCs w:val="24"/>
        </w:rPr>
        <w:t xml:space="preserve"> treatment for HIV as well as for tuberculosis </w:t>
      </w:r>
      <w:r>
        <w:rPr>
          <w:rFonts w:ascii="Times New Roman" w:hAnsi="Times New Roman" w:cs="Times New Roman"/>
          <w:sz w:val="24"/>
          <w:szCs w:val="24"/>
        </w:rPr>
        <w:t xml:space="preserve">(TB) </w:t>
      </w:r>
      <w:r w:rsidRPr="009E5F95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rifabutin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-based regimen. </w:t>
      </w:r>
      <w:r>
        <w:rPr>
          <w:rFonts w:ascii="Times New Roman" w:hAnsi="Times New Roman" w:cs="Times New Roman"/>
          <w:sz w:val="24"/>
          <w:szCs w:val="24"/>
        </w:rPr>
        <w:t>Although the patient prefers a 1-</w:t>
      </w:r>
      <w:r w:rsidRPr="009E5F95">
        <w:rPr>
          <w:rFonts w:ascii="Times New Roman" w:hAnsi="Times New Roman" w:cs="Times New Roman"/>
          <w:sz w:val="24"/>
          <w:szCs w:val="24"/>
        </w:rPr>
        <w:t>tablet regimen, she is amenable to other options.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Which regimen is most appropriate?</w:t>
      </w:r>
    </w:p>
    <w:p w:rsidR="00F36D0F" w:rsidRPr="009E5F95" w:rsidRDefault="00F36D0F" w:rsidP="00F36D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abacavir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/lamivudine comb</w:t>
      </w:r>
      <w:r>
        <w:rPr>
          <w:rFonts w:ascii="Times New Roman" w:hAnsi="Times New Roman" w:cs="Times New Roman"/>
          <w:sz w:val="24"/>
          <w:szCs w:val="24"/>
        </w:rPr>
        <w:t xml:space="preserve">ination </w:t>
      </w:r>
      <w:r w:rsidRPr="009E5F95">
        <w:rPr>
          <w:rFonts w:ascii="Times New Roman" w:hAnsi="Times New Roman" w:cs="Times New Roman"/>
          <w:sz w:val="24"/>
          <w:szCs w:val="24"/>
        </w:rPr>
        <w:t>tablet once daily</w:t>
      </w:r>
    </w:p>
    <w:p w:rsidR="00F36D0F" w:rsidRPr="009E5F95" w:rsidRDefault="00F36D0F" w:rsidP="00F36D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abacavir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and lamivudine 150</w:t>
      </w:r>
      <w:r>
        <w:rPr>
          <w:rFonts w:ascii="Times New Roman" w:hAnsi="Times New Roman" w:cs="Times New Roman"/>
          <w:sz w:val="24"/>
          <w:szCs w:val="24"/>
        </w:rPr>
        <w:t xml:space="preserve"> mg, each once daily</w:t>
      </w:r>
    </w:p>
    <w:p w:rsidR="00F36D0F" w:rsidRPr="009E5F95" w:rsidRDefault="00F36D0F" w:rsidP="00F36D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DF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mg, and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emtricitabine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mg, each once daily</w:t>
      </w:r>
    </w:p>
    <w:p w:rsidR="00F36D0F" w:rsidRPr="009E5F95" w:rsidRDefault="00F36D0F" w:rsidP="00F36D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cobicistat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tenofovir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alafenamide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emtricitabine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comb</w:t>
      </w:r>
      <w:r>
        <w:rPr>
          <w:rFonts w:ascii="Times New Roman" w:hAnsi="Times New Roman" w:cs="Times New Roman"/>
          <w:sz w:val="24"/>
          <w:szCs w:val="24"/>
        </w:rPr>
        <w:t xml:space="preserve">ination </w:t>
      </w:r>
      <w:r w:rsidRPr="009E5F95">
        <w:rPr>
          <w:rFonts w:ascii="Times New Roman" w:hAnsi="Times New Roman" w:cs="Times New Roman"/>
          <w:sz w:val="24"/>
          <w:szCs w:val="24"/>
        </w:rPr>
        <w:t>tablet once daily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lastRenderedPageBreak/>
        <w:t>Answer: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Dolutegravir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mg,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abacavir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F95">
        <w:rPr>
          <w:rFonts w:ascii="Times New Roman" w:hAnsi="Times New Roman" w:cs="Times New Roman"/>
          <w:sz w:val="24"/>
          <w:szCs w:val="24"/>
        </w:rPr>
        <w:t xml:space="preserve"> and lamivudine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mg, each once daily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Option 2 provides accurate doses, adjusts for renal function (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CrCl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42 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E5F95">
        <w:rPr>
          <w:rFonts w:ascii="Times New Roman" w:hAnsi="Times New Roman" w:cs="Times New Roman"/>
          <w:sz w:val="24"/>
          <w:szCs w:val="24"/>
        </w:rPr>
        <w:t>/min</w:t>
      </w:r>
      <w:r>
        <w:rPr>
          <w:rFonts w:ascii="Times New Roman" w:hAnsi="Times New Roman" w:cs="Times New Roman"/>
          <w:sz w:val="24"/>
          <w:szCs w:val="24"/>
        </w:rPr>
        <w:t>ute/1.73 m</w:t>
      </w:r>
      <w:r w:rsidRPr="005B2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5F95">
        <w:rPr>
          <w:rFonts w:ascii="Times New Roman" w:hAnsi="Times New Roman" w:cs="Times New Roman"/>
          <w:sz w:val="24"/>
          <w:szCs w:val="24"/>
        </w:rPr>
        <w:t xml:space="preserve">), and is compatible with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rifabutin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. Option 1 is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E5F95">
        <w:rPr>
          <w:rFonts w:ascii="Times New Roman" w:hAnsi="Times New Roman" w:cs="Times New Roman"/>
          <w:sz w:val="24"/>
          <w:szCs w:val="24"/>
        </w:rPr>
        <w:t>appropriate because lamivudine needs to be 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adjusted</w:t>
      </w:r>
      <w:r>
        <w:rPr>
          <w:rFonts w:ascii="Times New Roman" w:hAnsi="Times New Roman" w:cs="Times New Roman"/>
          <w:sz w:val="24"/>
          <w:szCs w:val="24"/>
        </w:rPr>
        <w:t xml:space="preserve"> and the 300mg of lamivudine in the combination tablet is inappropriate for this patient</w:t>
      </w:r>
      <w:r w:rsidRPr="009E5F95">
        <w:rPr>
          <w:rFonts w:ascii="Times New Roman" w:hAnsi="Times New Roman" w:cs="Times New Roman"/>
          <w:sz w:val="24"/>
          <w:szCs w:val="24"/>
        </w:rPr>
        <w:t xml:space="preserve">. Options 3 and 4 are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E5F95">
        <w:rPr>
          <w:rFonts w:ascii="Times New Roman" w:hAnsi="Times New Roman" w:cs="Times New Roman"/>
          <w:sz w:val="24"/>
          <w:szCs w:val="24"/>
        </w:rPr>
        <w:t xml:space="preserve">appropriate because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is contraindicated with both rifampin and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rifabutin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Moreover</w:t>
      </w:r>
      <w:r w:rsidRPr="009E5F95">
        <w:rPr>
          <w:rFonts w:ascii="Times New Roman" w:hAnsi="Times New Roman" w:cs="Times New Roman"/>
          <w:sz w:val="24"/>
          <w:szCs w:val="24"/>
        </w:rPr>
        <w:t xml:space="preserve">, option 3 is missing a pharmacokinetic booster for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elvitegravir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 (DHHS). </w:t>
      </w:r>
      <w:proofErr w:type="gramStart"/>
      <w:r w:rsidRPr="0043064C"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>Guidelines for the Use of Antiretroviral Agents in HIV-1-Infected Adults and Adolescents</w:t>
      </w:r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>.</w:t>
      </w:r>
      <w:proofErr w:type="gramEnd"/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>January 28, 2016</w:t>
      </w:r>
      <w:proofErr w:type="gramStart"/>
      <w:r>
        <w:rPr>
          <w:rFonts w:ascii="Times New Roman" w:hAnsi="Times New Roman" w:cs="Times New Roman"/>
          <w:sz w:val="24"/>
          <w:szCs w:val="24"/>
        </w:rPr>
        <w:t>:L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-33, P-14. </w:t>
      </w:r>
      <w:proofErr w:type="gramStart"/>
      <w:r>
        <w:rPr>
          <w:rFonts w:ascii="Times New Roman" w:hAnsi="Times New Roman" w:cs="Lucida Sans Unicode"/>
          <w:color w:val="000000" w:themeColor="text1"/>
          <w:kern w:val="36"/>
          <w:sz w:val="24"/>
          <w:szCs w:val="33"/>
        </w:rPr>
        <w:t xml:space="preserve">Available at </w:t>
      </w:r>
      <w:r>
        <w:rPr>
          <w:rFonts w:ascii="Times New Roman" w:hAnsi="Times New Roman" w:cs="Times New Roman"/>
          <w:color w:val="0000FF"/>
          <w:sz w:val="24"/>
          <w:szCs w:val="24"/>
        </w:rPr>
        <w:t>http://aidsinfo.nih.gov/guidelines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F36D0F" w:rsidRPr="009E5F95" w:rsidRDefault="00F36D0F" w:rsidP="00F36D0F">
      <w:pPr>
        <w:rPr>
          <w:rFonts w:ascii="Times New Roman" w:hAnsi="Times New Roman" w:cs="Times New Roman"/>
          <w:b/>
          <w:sz w:val="24"/>
          <w:szCs w:val="24"/>
        </w:rPr>
      </w:pPr>
      <w:r w:rsidRPr="009E5F95">
        <w:rPr>
          <w:rFonts w:ascii="Times New Roman" w:hAnsi="Times New Roman" w:cs="Times New Roman"/>
          <w:b/>
          <w:sz w:val="24"/>
          <w:szCs w:val="24"/>
        </w:rPr>
        <w:t xml:space="preserve">Question 5 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One month later, results of the TB resistance tests </w:t>
      </w: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Pr="009E5F95">
        <w:rPr>
          <w:rFonts w:ascii="Times New Roman" w:hAnsi="Times New Roman" w:cs="Times New Roman"/>
          <w:sz w:val="24"/>
          <w:szCs w:val="24"/>
        </w:rPr>
        <w:t xml:space="preserve">that this patient’s TB is resistant to rifampin and isoniazid. The patient states that her coughing decreased over the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F95">
        <w:rPr>
          <w:rFonts w:ascii="Times New Roman" w:hAnsi="Times New Roman" w:cs="Times New Roman"/>
          <w:sz w:val="24"/>
          <w:szCs w:val="24"/>
        </w:rPr>
        <w:t xml:space="preserve"> weeks but </w:t>
      </w:r>
      <w:r>
        <w:rPr>
          <w:rFonts w:ascii="Times New Roman" w:hAnsi="Times New Roman" w:cs="Times New Roman"/>
          <w:sz w:val="24"/>
          <w:szCs w:val="24"/>
        </w:rPr>
        <w:t xml:space="preserve">that it </w:t>
      </w:r>
      <w:r w:rsidRPr="009E5F95">
        <w:rPr>
          <w:rFonts w:ascii="Times New Roman" w:hAnsi="Times New Roman" w:cs="Times New Roman"/>
          <w:sz w:val="24"/>
          <w:szCs w:val="24"/>
        </w:rPr>
        <w:t xml:space="preserve">has returned to baseline over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E5F95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E5F95">
        <w:rPr>
          <w:rFonts w:ascii="Times New Roman" w:hAnsi="Times New Roman" w:cs="Times New Roman"/>
          <w:sz w:val="24"/>
          <w:szCs w:val="24"/>
        </w:rPr>
        <w:t>weeks. Which TB regimen is best to recommend for this patient?</w:t>
      </w:r>
    </w:p>
    <w:p w:rsidR="00F36D0F" w:rsidRPr="009E5F95" w:rsidRDefault="00F36D0F" w:rsidP="00F36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Levofloxacin,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rifapentine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>, pyrazinamide, isoniazid</w:t>
      </w:r>
    </w:p>
    <w:p w:rsidR="00F36D0F" w:rsidRPr="009E5F95" w:rsidRDefault="00F36D0F" w:rsidP="00F36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Levofloxacin,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</w:t>
      </w:r>
      <w:r w:rsidRPr="009E5F95">
        <w:rPr>
          <w:rFonts w:ascii="Times New Roman" w:hAnsi="Times New Roman" w:cs="Times New Roman"/>
          <w:sz w:val="24"/>
          <w:szCs w:val="24"/>
        </w:rPr>
        <w:t>-aminosalicylic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 acid, kanamycin,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ethambutol</w:t>
      </w:r>
      <w:proofErr w:type="spellEnd"/>
    </w:p>
    <w:p w:rsidR="00F36D0F" w:rsidRPr="009E5F95" w:rsidRDefault="00F36D0F" w:rsidP="00F36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Pyrazinamide, levofloxacin,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ethambutol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cycloserine</w:t>
      </w:r>
      <w:proofErr w:type="spellEnd"/>
    </w:p>
    <w:p w:rsidR="00F36D0F" w:rsidRPr="009E5F95" w:rsidRDefault="00F36D0F" w:rsidP="00F36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 xml:space="preserve">Pyrazinamide, levofloxacin,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streptomycin,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ethambutol</w:t>
      </w:r>
      <w:proofErr w:type="spell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E5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95">
        <w:rPr>
          <w:rFonts w:ascii="Times New Roman" w:hAnsi="Times New Roman" w:cs="Times New Roman"/>
          <w:sz w:val="24"/>
          <w:szCs w:val="24"/>
        </w:rPr>
        <w:t xml:space="preserve">Pyrazinamide, levofloxacin,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amikacin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ethambutol</w:t>
      </w:r>
      <w:proofErr w:type="spellEnd"/>
      <w:r w:rsidRPr="009E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95">
        <w:rPr>
          <w:rFonts w:ascii="Times New Roman" w:hAnsi="Times New Roman" w:cs="Times New Roman"/>
          <w:sz w:val="24"/>
          <w:szCs w:val="24"/>
        </w:rPr>
        <w:t>cycloserine</w:t>
      </w:r>
      <w:proofErr w:type="spellEnd"/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Rationale: Second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95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5F95">
        <w:rPr>
          <w:rFonts w:ascii="Times New Roman" w:hAnsi="Times New Roman" w:cs="Times New Roman"/>
          <w:sz w:val="24"/>
          <w:szCs w:val="24"/>
        </w:rPr>
        <w:t xml:space="preserve">nti-TB medications are needed for this patient, and only option 3 contains an appropriate combination of medications. Options 2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E5F95">
        <w:rPr>
          <w:rFonts w:ascii="Times New Roman" w:hAnsi="Times New Roman" w:cs="Times New Roman"/>
          <w:sz w:val="24"/>
          <w:szCs w:val="24"/>
        </w:rPr>
        <w:t xml:space="preserve"> 4 are incorrect because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9E5F95">
        <w:rPr>
          <w:rFonts w:ascii="Times New Roman" w:hAnsi="Times New Roman" w:cs="Times New Roman"/>
          <w:sz w:val="24"/>
          <w:szCs w:val="24"/>
        </w:rPr>
        <w:t xml:space="preserve"> include two aminoglycosides, which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9E5F95">
        <w:rPr>
          <w:rFonts w:ascii="Times New Roman" w:hAnsi="Times New Roman" w:cs="Times New Roman"/>
          <w:sz w:val="24"/>
          <w:szCs w:val="24"/>
        </w:rPr>
        <w:t xml:space="preserve">significantly increase the risk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E5F95">
        <w:rPr>
          <w:rFonts w:ascii="Times New Roman" w:hAnsi="Times New Roman" w:cs="Times New Roman"/>
          <w:sz w:val="24"/>
          <w:szCs w:val="24"/>
        </w:rPr>
        <w:t xml:space="preserve"> renal damage. Option 1 is incorrect because it includes two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9E5F95">
        <w:rPr>
          <w:rFonts w:ascii="Times New Roman" w:hAnsi="Times New Roman" w:cs="Times New Roman"/>
          <w:sz w:val="24"/>
          <w:szCs w:val="24"/>
        </w:rPr>
        <w:t>medications the patient has documented resistan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E5F95">
        <w:rPr>
          <w:rFonts w:ascii="Times New Roman" w:hAnsi="Times New Roman" w:cs="Times New Roman"/>
          <w:sz w:val="24"/>
          <w:szCs w:val="24"/>
        </w:rPr>
        <w:t xml:space="preserve"> to, thus providing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E5F95">
        <w:rPr>
          <w:rFonts w:ascii="Times New Roman" w:hAnsi="Times New Roman" w:cs="Times New Roman"/>
          <w:sz w:val="24"/>
          <w:szCs w:val="24"/>
        </w:rPr>
        <w:t>sufficient medications to treat the patient.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  <w:r w:rsidRPr="009E5F95">
        <w:rPr>
          <w:rFonts w:ascii="Times New Roman" w:hAnsi="Times New Roman" w:cs="Times New Roman"/>
          <w:sz w:val="24"/>
          <w:szCs w:val="24"/>
        </w:rPr>
        <w:t>Citation:</w:t>
      </w:r>
      <w:r>
        <w:rPr>
          <w:rFonts w:ascii="Times New Roman" w:hAnsi="Times New Roman" w:cs="Times New Roman"/>
          <w:sz w:val="24"/>
          <w:szCs w:val="24"/>
        </w:rPr>
        <w:t xml:space="preserve"> American Thoracic Society; CDC;</w:t>
      </w:r>
      <w:r w:rsidRPr="009E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Infectious Diseases Society of America. </w:t>
      </w:r>
      <w:proofErr w:type="gramStart"/>
      <w:r>
        <w:rPr>
          <w:rFonts w:ascii="Times New Roman" w:hAnsi="Times New Roman" w:cs="Times New Roman"/>
          <w:sz w:val="24"/>
          <w:szCs w:val="24"/>
        </w:rPr>
        <w:t>Treatment of tuberculosis.</w:t>
      </w:r>
      <w:proofErr w:type="gramEnd"/>
      <w:r w:rsidRPr="009E5F95">
        <w:rPr>
          <w:rFonts w:ascii="Times New Roman" w:hAnsi="Times New Roman" w:cs="Times New Roman"/>
          <w:sz w:val="24"/>
          <w:szCs w:val="24"/>
        </w:rPr>
        <w:t xml:space="preserve"> MMWR 2003</w:t>
      </w:r>
      <w:proofErr w:type="gramStart"/>
      <w:r>
        <w:rPr>
          <w:rFonts w:ascii="Times New Roman" w:hAnsi="Times New Roman" w:cs="Times New Roman"/>
          <w:sz w:val="24"/>
          <w:szCs w:val="24"/>
        </w:rPr>
        <w:t>;52</w:t>
      </w:r>
      <w:proofErr w:type="gramEnd"/>
      <w:r>
        <w:rPr>
          <w:rFonts w:ascii="Times New Roman" w:hAnsi="Times New Roman" w:cs="Times New Roman"/>
          <w:sz w:val="24"/>
          <w:szCs w:val="24"/>
        </w:rPr>
        <w:t>(RR11):19, 69.</w:t>
      </w:r>
    </w:p>
    <w:p w:rsidR="00F36D0F" w:rsidRPr="009E5F95" w:rsidRDefault="00F36D0F" w:rsidP="00F36D0F">
      <w:pPr>
        <w:rPr>
          <w:rFonts w:ascii="Times New Roman" w:hAnsi="Times New Roman" w:cs="Times New Roman"/>
          <w:sz w:val="24"/>
          <w:szCs w:val="24"/>
        </w:rPr>
      </w:pPr>
    </w:p>
    <w:p w:rsidR="00A14C2F" w:rsidRDefault="00E45E4E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F50"/>
    <w:multiLevelType w:val="hybridMultilevel"/>
    <w:tmpl w:val="4472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564"/>
    <w:multiLevelType w:val="hybridMultilevel"/>
    <w:tmpl w:val="94CE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7972"/>
    <w:multiLevelType w:val="hybridMultilevel"/>
    <w:tmpl w:val="A9B2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6F1"/>
    <w:multiLevelType w:val="hybridMultilevel"/>
    <w:tmpl w:val="254C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0940"/>
    <w:multiLevelType w:val="hybridMultilevel"/>
    <w:tmpl w:val="3C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F"/>
    <w:rsid w:val="009721CB"/>
    <w:rsid w:val="00E03119"/>
    <w:rsid w:val="00E45E4E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dsinfo.nih.gov/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2016-10-14T18:00:00Z</dcterms:created>
  <dcterms:modified xsi:type="dcterms:W3CDTF">2016-10-14T18:02:00Z</dcterms:modified>
</cp:coreProperties>
</file>