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83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 ACCP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StuNews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Case </w:t>
      </w:r>
    </w:p>
    <w:p w:rsidR="00332B83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Reviewed by 2016</w:t>
      </w:r>
      <w:r>
        <w:rPr>
          <w:rFonts w:ascii="Times New Roman" w:hAnsi="Times New Roman" w:cs="Times New Roman"/>
          <w:b/>
          <w:sz w:val="24"/>
          <w:szCs w:val="24"/>
        </w:rPr>
        <w:t xml:space="preserve"> ACCP Clinical Pharmacy Exam Panel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Vignette: A 54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old ma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6C0C8B">
        <w:rPr>
          <w:rFonts w:ascii="Times New Roman" w:hAnsi="Times New Roman" w:cs="Times New Roman"/>
          <w:sz w:val="24"/>
          <w:szCs w:val="24"/>
        </w:rPr>
        <w:t>presents to the emergency department with a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day history of shortness of breath, decreased oral intake, and general malaise. He is hypotensive on admission and remains hypotensive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despite having received 3 L of fluid. </w:t>
      </w:r>
      <w:r>
        <w:rPr>
          <w:rFonts w:ascii="Times New Roman" w:hAnsi="Times New Roman" w:cs="Times New Roman"/>
          <w:sz w:val="24"/>
          <w:szCs w:val="24"/>
        </w:rPr>
        <w:t>Given</w:t>
      </w:r>
      <w:r w:rsidRPr="006C0C8B">
        <w:rPr>
          <w:rFonts w:ascii="Times New Roman" w:hAnsi="Times New Roman" w:cs="Times New Roman"/>
          <w:sz w:val="24"/>
          <w:szCs w:val="24"/>
        </w:rPr>
        <w:t xml:space="preserve"> the patient’s arterial blood gas results, the m</w:t>
      </w:r>
      <w:bookmarkStart w:id="0" w:name="_GoBack"/>
      <w:bookmarkEnd w:id="0"/>
      <w:r w:rsidRPr="006C0C8B">
        <w:rPr>
          <w:rFonts w:ascii="Times New Roman" w:hAnsi="Times New Roman" w:cs="Times New Roman"/>
          <w:sz w:val="24"/>
          <w:szCs w:val="24"/>
        </w:rPr>
        <w:t>edical intensive care unit team is consulted for intubation and to admit the patient for further care.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Past Medical History: Hypertension, insomnia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Social History: Lives at home with his wife. Denies smoking, drinking, and illicit drug use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Current medications: Hydrochlorothiazide 25 mg daily, zolpidem 10 mg at bedtime as needed for sleep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Allergies: Sulfa drugs (hives)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Vital Signs (after fluid resuscitation): H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0C8B">
        <w:rPr>
          <w:rFonts w:ascii="Times New Roman" w:hAnsi="Times New Roman" w:cs="Times New Roman"/>
          <w:sz w:val="24"/>
          <w:szCs w:val="24"/>
        </w:rPr>
        <w:t xml:space="preserve"> 115 beats/ minute, </w:t>
      </w:r>
      <w:r>
        <w:rPr>
          <w:rFonts w:ascii="Times New Roman" w:hAnsi="Times New Roman" w:cs="Times New Roman"/>
          <w:sz w:val="24"/>
          <w:szCs w:val="24"/>
        </w:rPr>
        <w:t>BP</w:t>
      </w:r>
      <w:r w:rsidRPr="006C0C8B">
        <w:rPr>
          <w:rFonts w:ascii="Times New Roman" w:hAnsi="Times New Roman" w:cs="Times New Roman"/>
          <w:sz w:val="24"/>
          <w:szCs w:val="24"/>
        </w:rPr>
        <w:t xml:space="preserve"> 95/40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>Hg (mean arterial pressure 58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 xml:space="preserve">Hg), 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6C0C8B">
        <w:rPr>
          <w:rFonts w:ascii="Times New Roman" w:hAnsi="Times New Roman" w:cs="Times New Roman"/>
          <w:sz w:val="24"/>
          <w:szCs w:val="24"/>
        </w:rPr>
        <w:t xml:space="preserve"> 31 breaths/min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6C0C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0C8B">
        <w:rPr>
          <w:rFonts w:ascii="Times New Roman" w:hAnsi="Times New Roman" w:cs="Times New Roman"/>
          <w:sz w:val="24"/>
          <w:szCs w:val="24"/>
        </w:rPr>
        <w:t>emp 101.5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0C8B">
        <w:rPr>
          <w:rFonts w:ascii="Times New Roman" w:hAnsi="Times New Roman" w:cs="Times New Roman"/>
          <w:sz w:val="24"/>
          <w:szCs w:val="24"/>
        </w:rPr>
        <w:t>F (38.6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C0C8B">
        <w:rPr>
          <w:rFonts w:ascii="Times New Roman" w:hAnsi="Times New Roman" w:cs="Times New Roman"/>
          <w:sz w:val="24"/>
          <w:szCs w:val="24"/>
        </w:rPr>
        <w:t>C)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Laboratory Values: White blood cell count 18.3 x 10</w:t>
      </w:r>
      <w:r w:rsidRPr="006C0C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0C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DA3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0C8B">
        <w:rPr>
          <w:rFonts w:ascii="Times New Roman" w:hAnsi="Times New Roman" w:cs="Times New Roman"/>
          <w:sz w:val="24"/>
          <w:szCs w:val="24"/>
        </w:rPr>
        <w:t xml:space="preserve"> (18.3 x 10</w:t>
      </w:r>
      <w:r w:rsidRPr="006C0C8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C0C8B">
        <w:rPr>
          <w:rFonts w:ascii="Times New Roman" w:hAnsi="Times New Roman" w:cs="Times New Roman"/>
          <w:sz w:val="24"/>
          <w:szCs w:val="24"/>
        </w:rPr>
        <w:t>emoglobin 9.1 g/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(91 g/L);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C0C8B">
        <w:rPr>
          <w:rFonts w:ascii="Times New Roman" w:hAnsi="Times New Roman" w:cs="Times New Roman"/>
          <w:sz w:val="24"/>
          <w:szCs w:val="24"/>
        </w:rPr>
        <w:t xml:space="preserve">ematocrit 28.3% (0.283);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0C8B">
        <w:rPr>
          <w:rFonts w:ascii="Times New Roman" w:hAnsi="Times New Roman" w:cs="Times New Roman"/>
          <w:sz w:val="24"/>
          <w:szCs w:val="24"/>
        </w:rPr>
        <w:t>latelet count 222</w:t>
      </w:r>
      <w:r>
        <w:rPr>
          <w:rFonts w:ascii="Times New Roman" w:hAnsi="Times New Roman" w:cs="Times New Roman"/>
          <w:sz w:val="24"/>
          <w:szCs w:val="24"/>
        </w:rPr>
        <w:t>,000</w:t>
      </w:r>
      <w:r w:rsidRPr="006C0C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DA3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C0C8B">
        <w:rPr>
          <w:rFonts w:ascii="Times New Roman" w:hAnsi="Times New Roman" w:cs="Times New Roman"/>
          <w:sz w:val="24"/>
          <w:szCs w:val="24"/>
        </w:rPr>
        <w:t xml:space="preserve"> (222 x 10</w:t>
      </w:r>
      <w:r w:rsidRPr="006C0C8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0C8B">
        <w:rPr>
          <w:rFonts w:ascii="Times New Roman" w:hAnsi="Times New Roman" w:cs="Times New Roman"/>
          <w:sz w:val="24"/>
          <w:szCs w:val="24"/>
        </w:rPr>
        <w:t xml:space="preserve">odium 144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 (144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0C8B">
        <w:rPr>
          <w:rFonts w:ascii="Times New Roman" w:hAnsi="Times New Roman" w:cs="Times New Roman"/>
          <w:sz w:val="24"/>
          <w:szCs w:val="24"/>
        </w:rPr>
        <w:t xml:space="preserve">otassium 5.8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 (5.8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C0C8B">
        <w:rPr>
          <w:rFonts w:ascii="Times New Roman" w:hAnsi="Times New Roman" w:cs="Times New Roman"/>
          <w:sz w:val="24"/>
          <w:szCs w:val="24"/>
        </w:rPr>
        <w:t xml:space="preserve">hloride 108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 (108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C0C8B">
        <w:rPr>
          <w:rFonts w:ascii="Times New Roman" w:hAnsi="Times New Roman" w:cs="Times New Roman"/>
          <w:sz w:val="24"/>
          <w:szCs w:val="24"/>
        </w:rPr>
        <w:t xml:space="preserve">icarbonate 16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 (16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C0C8B">
        <w:rPr>
          <w:rFonts w:ascii="Times New Roman" w:hAnsi="Times New Roman" w:cs="Times New Roman"/>
          <w:sz w:val="24"/>
          <w:szCs w:val="24"/>
        </w:rPr>
        <w:t xml:space="preserve">lood urea nitrogen </w:t>
      </w:r>
      <w:r>
        <w:rPr>
          <w:rFonts w:ascii="Times New Roman" w:hAnsi="Times New Roman" w:cs="Times New Roman"/>
          <w:sz w:val="24"/>
          <w:szCs w:val="24"/>
        </w:rPr>
        <w:t xml:space="preserve">(BUN) </w:t>
      </w:r>
      <w:r w:rsidRPr="006C0C8B">
        <w:rPr>
          <w:rFonts w:ascii="Times New Roman" w:hAnsi="Times New Roman" w:cs="Times New Roman"/>
          <w:sz w:val="24"/>
          <w:szCs w:val="24"/>
        </w:rPr>
        <w:t>44 mg/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(15.7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0C8B">
        <w:rPr>
          <w:rFonts w:ascii="Times New Roman" w:hAnsi="Times New Roman" w:cs="Times New Roman"/>
          <w:sz w:val="24"/>
          <w:szCs w:val="24"/>
        </w:rPr>
        <w:t xml:space="preserve">erum creatinine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0C8B">
        <w:rPr>
          <w:rFonts w:ascii="Times New Roman" w:hAnsi="Times New Roman" w:cs="Times New Roman"/>
          <w:sz w:val="24"/>
          <w:szCs w:val="24"/>
        </w:rPr>
        <w:t>2.14 mg/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(189.2 micromoles/L);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C0C8B">
        <w:rPr>
          <w:rFonts w:ascii="Times New Roman" w:hAnsi="Times New Roman" w:cs="Times New Roman"/>
          <w:sz w:val="24"/>
          <w:szCs w:val="24"/>
        </w:rPr>
        <w:t>lucose 144 mg/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(7.99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/L);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0C8B">
        <w:rPr>
          <w:rFonts w:ascii="Times New Roman" w:hAnsi="Times New Roman" w:cs="Times New Roman"/>
          <w:sz w:val="24"/>
          <w:szCs w:val="24"/>
        </w:rPr>
        <w:t xml:space="preserve">spartate aminotransferase 1238 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6C0C8B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0C8B">
        <w:rPr>
          <w:rFonts w:ascii="Times New Roman" w:hAnsi="Times New Roman" w:cs="Times New Roman"/>
          <w:sz w:val="24"/>
          <w:szCs w:val="24"/>
        </w:rPr>
        <w:t xml:space="preserve">lanine aminotransferase 1108 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6C0C8B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0C8B">
        <w:rPr>
          <w:rFonts w:ascii="Times New Roman" w:hAnsi="Times New Roman" w:cs="Times New Roman"/>
          <w:sz w:val="24"/>
          <w:szCs w:val="24"/>
        </w:rPr>
        <w:t xml:space="preserve">lkaline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0C8B">
        <w:rPr>
          <w:rFonts w:ascii="Times New Roman" w:hAnsi="Times New Roman" w:cs="Times New Roman"/>
          <w:sz w:val="24"/>
          <w:szCs w:val="24"/>
        </w:rPr>
        <w:t xml:space="preserve">hosphatase 1561 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6C0C8B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0C8B">
        <w:rPr>
          <w:rFonts w:ascii="Times New Roman" w:hAnsi="Times New Roman" w:cs="Times New Roman"/>
          <w:sz w:val="24"/>
          <w:szCs w:val="24"/>
        </w:rPr>
        <w:t xml:space="preserve">nternational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0C8B">
        <w:rPr>
          <w:rFonts w:ascii="Times New Roman" w:hAnsi="Times New Roman" w:cs="Times New Roman"/>
          <w:sz w:val="24"/>
          <w:szCs w:val="24"/>
        </w:rPr>
        <w:t xml:space="preserve">ormalized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0C8B">
        <w:rPr>
          <w:rFonts w:ascii="Times New Roman" w:hAnsi="Times New Roman" w:cs="Times New Roman"/>
          <w:sz w:val="24"/>
          <w:szCs w:val="24"/>
        </w:rPr>
        <w:t>atio 1.8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Arterial Blood Gas: pH 7.13;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3613">
        <w:rPr>
          <w:rFonts w:ascii="Times New Roman" w:hAnsi="Times New Roman" w:cs="Times New Roman"/>
          <w:smallCaps/>
          <w:sz w:val="24"/>
          <w:szCs w:val="24"/>
        </w:rPr>
        <w:t>co</w:t>
      </w:r>
      <w:r w:rsidRPr="006C0C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C8B">
        <w:rPr>
          <w:rFonts w:ascii="Times New Roman" w:hAnsi="Times New Roman" w:cs="Times New Roman"/>
          <w:sz w:val="24"/>
          <w:szCs w:val="24"/>
        </w:rPr>
        <w:t xml:space="preserve"> 92 mm Hg;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3613">
        <w:rPr>
          <w:rFonts w:ascii="Times New Roman" w:hAnsi="Times New Roman" w:cs="Times New Roman"/>
          <w:smallCaps/>
          <w:sz w:val="24"/>
          <w:szCs w:val="24"/>
        </w:rPr>
        <w:t>o</w:t>
      </w:r>
      <w:r w:rsidRPr="006C0C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C8B">
        <w:rPr>
          <w:rFonts w:ascii="Times New Roman" w:hAnsi="Times New Roman" w:cs="Times New Roman"/>
          <w:sz w:val="24"/>
          <w:szCs w:val="24"/>
        </w:rPr>
        <w:t xml:space="preserve"> 87 mm Hg; O</w:t>
      </w:r>
      <w:r w:rsidRPr="006C0C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0C8B">
        <w:rPr>
          <w:rFonts w:ascii="Times New Roman" w:hAnsi="Times New Roman" w:cs="Times New Roman"/>
          <w:sz w:val="24"/>
          <w:szCs w:val="24"/>
        </w:rPr>
        <w:t xml:space="preserve"> saturation 89%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Procedures: None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0C8B">
        <w:rPr>
          <w:rFonts w:ascii="Times New Roman" w:hAnsi="Times New Roman" w:cs="Times New Roman"/>
          <w:sz w:val="24"/>
          <w:szCs w:val="24"/>
        </w:rPr>
        <w:t>intubation planned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 w:rsidRPr="006C0C8B">
        <w:rPr>
          <w:rFonts w:ascii="Times New Roman" w:hAnsi="Times New Roman" w:cs="Times New Roman"/>
          <w:b/>
          <w:sz w:val="24"/>
          <w:szCs w:val="24"/>
        </w:rPr>
        <w:t>Question 1- 100 points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Which intervention is </w:t>
      </w:r>
      <w:r>
        <w:rPr>
          <w:rFonts w:ascii="Times New Roman" w:hAnsi="Times New Roman" w:cs="Times New Roman"/>
          <w:sz w:val="24"/>
          <w:szCs w:val="24"/>
        </w:rPr>
        <w:t>MOST</w:t>
      </w:r>
      <w:r w:rsidRPr="006C0C8B">
        <w:rPr>
          <w:rFonts w:ascii="Times New Roman" w:hAnsi="Times New Roman" w:cs="Times New Roman"/>
          <w:sz w:val="24"/>
          <w:szCs w:val="24"/>
        </w:rPr>
        <w:t xml:space="preserve"> likely to reduce this patent’s risk of mortality?</w:t>
      </w:r>
    </w:p>
    <w:p w:rsidR="00332B83" w:rsidRPr="006C0C8B" w:rsidRDefault="00332B83" w:rsidP="0033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Inhaled bronchodilators</w:t>
      </w:r>
    </w:p>
    <w:p w:rsidR="00332B83" w:rsidRPr="006C0C8B" w:rsidRDefault="00332B83" w:rsidP="0033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Initiation of norepinephrine</w:t>
      </w:r>
    </w:p>
    <w:p w:rsidR="00332B83" w:rsidRPr="006C0C8B" w:rsidRDefault="00332B83" w:rsidP="0033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Insertion of a central venous catheter</w:t>
      </w:r>
    </w:p>
    <w:p w:rsidR="00332B83" w:rsidRPr="006C0C8B" w:rsidRDefault="00332B83" w:rsidP="00332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Rapid administration of antibiotics</w:t>
      </w:r>
    </w:p>
    <w:p w:rsidR="00332B83" w:rsidRPr="006C0C8B" w:rsidRDefault="00332B83" w:rsidP="00332B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lastRenderedPageBreak/>
        <w:t>Answer: 4. Rapid administration of antibiotics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Rationale: This patient is in septic shock (hypotension refractory to fluid administration). Early antibiotics (ideally within 1 hour) are the idealistic standard in the management of septic shock and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6C0C8B">
        <w:rPr>
          <w:rFonts w:ascii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hAnsi="Times New Roman" w:cs="Times New Roman"/>
          <w:sz w:val="24"/>
          <w:szCs w:val="24"/>
        </w:rPr>
        <w:t>reduced</w:t>
      </w:r>
      <w:r w:rsidRPr="006C0C8B">
        <w:rPr>
          <w:rFonts w:ascii="Times New Roman" w:hAnsi="Times New Roman" w:cs="Times New Roman"/>
          <w:sz w:val="24"/>
          <w:szCs w:val="24"/>
        </w:rPr>
        <w:t xml:space="preserve"> mortality. </w:t>
      </w:r>
      <w:r>
        <w:rPr>
          <w:rFonts w:ascii="Times New Roman" w:hAnsi="Times New Roman" w:cs="Times New Roman"/>
          <w:sz w:val="24"/>
          <w:szCs w:val="24"/>
        </w:rPr>
        <w:t>Although inserting</w:t>
      </w:r>
      <w:r w:rsidRPr="006C0C8B">
        <w:rPr>
          <w:rFonts w:ascii="Times New Roman" w:hAnsi="Times New Roman" w:cs="Times New Roman"/>
          <w:sz w:val="24"/>
          <w:szCs w:val="24"/>
        </w:rPr>
        <w:t xml:space="preserve"> central catheters and norepinephrine are common maneuver in the management of septic shock, their use is not necessarily associated with </w:t>
      </w:r>
      <w:r>
        <w:rPr>
          <w:rFonts w:ascii="Times New Roman" w:hAnsi="Times New Roman" w:cs="Times New Roman"/>
          <w:sz w:val="24"/>
          <w:szCs w:val="24"/>
        </w:rPr>
        <w:t xml:space="preserve">reduced </w:t>
      </w:r>
      <w:r w:rsidRPr="006C0C8B">
        <w:rPr>
          <w:rFonts w:ascii="Times New Roman" w:hAnsi="Times New Roman" w:cs="Times New Roman"/>
          <w:sz w:val="24"/>
          <w:szCs w:val="24"/>
        </w:rPr>
        <w:t xml:space="preserve">mortality. Inhaled bronchodilators are also not associated with </w:t>
      </w:r>
      <w:r>
        <w:rPr>
          <w:rFonts w:ascii="Times New Roman" w:hAnsi="Times New Roman" w:cs="Times New Roman"/>
          <w:sz w:val="24"/>
          <w:szCs w:val="24"/>
        </w:rPr>
        <w:t xml:space="preserve">reduced </w:t>
      </w:r>
      <w:r w:rsidRPr="006C0C8B">
        <w:rPr>
          <w:rFonts w:ascii="Times New Roman" w:hAnsi="Times New Roman" w:cs="Times New Roman"/>
          <w:sz w:val="24"/>
          <w:szCs w:val="24"/>
        </w:rPr>
        <w:t>mortality in this setting.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Citation: Dellinger RP, Levy MM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Rhodes A, et al. Surviving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0C8B">
        <w:rPr>
          <w:rFonts w:ascii="Times New Roman" w:hAnsi="Times New Roman" w:cs="Times New Roman"/>
          <w:sz w:val="24"/>
          <w:szCs w:val="24"/>
        </w:rPr>
        <w:t xml:space="preserve">epsis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C0C8B">
        <w:rPr>
          <w:rFonts w:ascii="Times New Roman" w:hAnsi="Times New Roman" w:cs="Times New Roman"/>
          <w:sz w:val="24"/>
          <w:szCs w:val="24"/>
        </w:rPr>
        <w:t>ampaign: international guidelines for management of severe sepsis and septic shock: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Care Med 2013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;41:580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-637.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 w:rsidRPr="006C0C8B">
        <w:rPr>
          <w:rFonts w:ascii="Times New Roman" w:hAnsi="Times New Roman" w:cs="Times New Roman"/>
          <w:b/>
          <w:sz w:val="24"/>
          <w:szCs w:val="24"/>
        </w:rPr>
        <w:t>Question 2 – 200 points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Which rapid sequence intubation medication is</w:t>
      </w:r>
      <w:r w:rsidRPr="006C0C8B">
        <w:rPr>
          <w:rFonts w:ascii="Times New Roman" w:hAnsi="Times New Roman" w:cs="Times New Roman"/>
          <w:b/>
          <w:sz w:val="24"/>
          <w:szCs w:val="24"/>
        </w:rPr>
        <w:t xml:space="preserve"> LEAST</w:t>
      </w:r>
      <w:r w:rsidRPr="006C0C8B">
        <w:rPr>
          <w:rFonts w:ascii="Times New Roman" w:hAnsi="Times New Roman" w:cs="Times New Roman"/>
          <w:sz w:val="24"/>
          <w:szCs w:val="24"/>
        </w:rPr>
        <w:t xml:space="preserve"> appropriate for use in this patient?</w:t>
      </w:r>
    </w:p>
    <w:p w:rsidR="00332B83" w:rsidRPr="006C0C8B" w:rsidRDefault="00332B83" w:rsidP="00332B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Etomidate</w:t>
      </w:r>
    </w:p>
    <w:p w:rsidR="00332B83" w:rsidRPr="006C0C8B" w:rsidRDefault="00332B83" w:rsidP="00332B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Ketamine</w:t>
      </w:r>
    </w:p>
    <w:p w:rsidR="00332B83" w:rsidRPr="006C0C8B" w:rsidRDefault="00332B83" w:rsidP="00332B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0C8B">
        <w:rPr>
          <w:rFonts w:ascii="Times New Roman" w:hAnsi="Times New Roman" w:cs="Times New Roman"/>
          <w:sz w:val="24"/>
          <w:szCs w:val="24"/>
        </w:rPr>
        <w:t>Rocuronium</w:t>
      </w:r>
      <w:proofErr w:type="spellEnd"/>
    </w:p>
    <w:p w:rsidR="00332B83" w:rsidRPr="006C0C8B" w:rsidRDefault="00332B83" w:rsidP="00332B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Succinylcholine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Answer: 4. Succinylcholine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Given</w:t>
      </w:r>
      <w:r w:rsidRPr="006C0C8B">
        <w:rPr>
          <w:rFonts w:ascii="Times New Roman" w:hAnsi="Times New Roman" w:cs="Times New Roman"/>
          <w:sz w:val="24"/>
          <w:szCs w:val="24"/>
        </w:rPr>
        <w:t xml:space="preserve"> the patient’s acute kidney injury and hyperkalemia, succinylcholine would further increase his potassium</w:t>
      </w:r>
      <w:r>
        <w:rPr>
          <w:rFonts w:ascii="Times New Roman" w:hAnsi="Times New Roman" w:cs="Times New Roman"/>
          <w:sz w:val="24"/>
          <w:szCs w:val="24"/>
        </w:rPr>
        <w:t xml:space="preserve"> concentration</w:t>
      </w:r>
      <w:r w:rsidRPr="006C0C8B">
        <w:rPr>
          <w:rFonts w:ascii="Times New Roman" w:hAnsi="Times New Roman" w:cs="Times New Roman"/>
          <w:sz w:val="24"/>
          <w:szCs w:val="24"/>
        </w:rPr>
        <w:t>, potentially to life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threatening levels. The other rapid sequence intubation medications would be appropriate in this scenario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if used.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Citation: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Stollings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JL,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Diedrich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DA, 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Oyen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 xml:space="preserve"> LJ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0C8B">
        <w:rPr>
          <w:rFonts w:ascii="Times New Roman" w:hAnsi="Times New Roman" w:cs="Times New Roman"/>
          <w:sz w:val="24"/>
          <w:szCs w:val="24"/>
        </w:rPr>
        <w:t>et al. Rapid-sequence intubation: a review of the process and considerations when choosing medications.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Pharmacother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;48:62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-76.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 w:rsidRPr="006C0C8B">
        <w:rPr>
          <w:rFonts w:ascii="Times New Roman" w:hAnsi="Times New Roman" w:cs="Times New Roman"/>
          <w:b/>
          <w:sz w:val="24"/>
          <w:szCs w:val="24"/>
        </w:rPr>
        <w:t>Question 3 – 200 points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The patient is heavily sedated on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with continued poor oxygenation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and the decision is made to try an infusion of a neuromuscular blocker. Which agent is most appropriate for this patient?</w:t>
      </w:r>
    </w:p>
    <w:p w:rsidR="00332B83" w:rsidRPr="006C0C8B" w:rsidRDefault="00332B83" w:rsidP="00332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Cisatracurium</w:t>
      </w:r>
      <w:proofErr w:type="spellEnd"/>
    </w:p>
    <w:p w:rsidR="00332B83" w:rsidRPr="006C0C8B" w:rsidRDefault="00332B83" w:rsidP="00332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0C8B">
        <w:rPr>
          <w:rFonts w:ascii="Times New Roman" w:hAnsi="Times New Roman" w:cs="Times New Roman"/>
          <w:sz w:val="24"/>
          <w:szCs w:val="24"/>
        </w:rPr>
        <w:t>Pancuronium</w:t>
      </w:r>
      <w:proofErr w:type="spellEnd"/>
    </w:p>
    <w:p w:rsidR="00332B83" w:rsidRDefault="00332B83" w:rsidP="00332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Rocuronium</w:t>
      </w:r>
      <w:proofErr w:type="spellEnd"/>
    </w:p>
    <w:p w:rsidR="00332B83" w:rsidRPr="006C0C8B" w:rsidRDefault="00332B83" w:rsidP="00332B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0C8B">
        <w:rPr>
          <w:rFonts w:ascii="Times New Roman" w:hAnsi="Times New Roman" w:cs="Times New Roman"/>
          <w:sz w:val="24"/>
          <w:szCs w:val="24"/>
        </w:rPr>
        <w:t>Vecuronium</w:t>
      </w:r>
      <w:proofErr w:type="spellEnd"/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lastRenderedPageBreak/>
        <w:t xml:space="preserve">Answer: 1.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Cisatracurium</w:t>
      </w:r>
      <w:proofErr w:type="spellEnd"/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Rationale: In a patient with concomitant renal and hepatic dysfunction,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cisatracurium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is the neuromuscular blocker of choice.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Cisatracurium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undergoes Hoffman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C0C8B">
        <w:rPr>
          <w:rFonts w:ascii="Times New Roman" w:hAnsi="Times New Roman" w:cs="Times New Roman"/>
          <w:sz w:val="24"/>
          <w:szCs w:val="24"/>
        </w:rPr>
        <w:t xml:space="preserve"> elimination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and its clearance is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6C0C8B">
        <w:rPr>
          <w:rFonts w:ascii="Times New Roman" w:hAnsi="Times New Roman" w:cs="Times New Roman"/>
          <w:sz w:val="24"/>
          <w:szCs w:val="24"/>
        </w:rPr>
        <w:t xml:space="preserve">affected by renal or hepatic dysfunction. The other options listed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C0C8B">
        <w:rPr>
          <w:rFonts w:ascii="Times New Roman" w:hAnsi="Times New Roman" w:cs="Times New Roman"/>
          <w:sz w:val="24"/>
          <w:szCs w:val="24"/>
        </w:rPr>
        <w:t xml:space="preserve"> accumulate to some extent with either organ system impaired.</w:t>
      </w:r>
    </w:p>
    <w:p w:rsidR="00332B83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Citation: Murray MJ, Cowen J,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DeBlock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H. et al. Clinical practice guidelines for sustained neuromuscular blockade in the adult critically ill patient.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Care Med 2002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;30:142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-56.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 w:rsidRPr="006C0C8B">
        <w:rPr>
          <w:rFonts w:ascii="Times New Roman" w:hAnsi="Times New Roman" w:cs="Times New Roman"/>
          <w:b/>
          <w:sz w:val="24"/>
          <w:szCs w:val="24"/>
        </w:rPr>
        <w:t>Question 4- 300 points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The patient remains hypotensive despite vasopressor support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and the decision is made to add steroids. What is the guideline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recommended daily dose (in m</w:t>
      </w:r>
      <w:r>
        <w:rPr>
          <w:rFonts w:ascii="Times New Roman" w:hAnsi="Times New Roman" w:cs="Times New Roman"/>
          <w:sz w:val="24"/>
          <w:szCs w:val="24"/>
        </w:rPr>
        <w:t>illigrams</w:t>
      </w:r>
      <w:r w:rsidRPr="006C0C8B">
        <w:rPr>
          <w:rFonts w:ascii="Times New Roman" w:hAnsi="Times New Roman" w:cs="Times New Roman"/>
          <w:sz w:val="24"/>
          <w:szCs w:val="24"/>
        </w:rPr>
        <w:t>) of hydrocortisone?</w:t>
      </w:r>
    </w:p>
    <w:p w:rsidR="00332B83" w:rsidRPr="006C0C8B" w:rsidRDefault="00332B83" w:rsidP="003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100</w:t>
      </w:r>
    </w:p>
    <w:p w:rsidR="00332B83" w:rsidRPr="006C0C8B" w:rsidRDefault="00332B83" w:rsidP="003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200</w:t>
      </w:r>
    </w:p>
    <w:p w:rsidR="00332B83" w:rsidRPr="006C0C8B" w:rsidRDefault="00332B83" w:rsidP="003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300</w:t>
      </w:r>
    </w:p>
    <w:p w:rsidR="00332B83" w:rsidRPr="006C0C8B" w:rsidRDefault="00332B83" w:rsidP="00332B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400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Answer: 2.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>mg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C0C8B">
        <w:rPr>
          <w:rFonts w:ascii="Times New Roman" w:hAnsi="Times New Roman" w:cs="Times New Roman"/>
          <w:sz w:val="24"/>
          <w:szCs w:val="24"/>
        </w:rPr>
        <w:t>he guideline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0C8B">
        <w:rPr>
          <w:rFonts w:ascii="Times New Roman" w:hAnsi="Times New Roman" w:cs="Times New Roman"/>
          <w:sz w:val="24"/>
          <w:szCs w:val="24"/>
        </w:rPr>
        <w:t>recommended dose of steroids in septic shock</w:t>
      </w:r>
      <w:r>
        <w:rPr>
          <w:rFonts w:ascii="Times New Roman" w:hAnsi="Times New Roman" w:cs="Times New Roman"/>
          <w:sz w:val="24"/>
          <w:szCs w:val="24"/>
        </w:rPr>
        <w:t xml:space="preserve"> is 200 mg daily</w:t>
      </w:r>
      <w:r w:rsidRPr="006C0C8B">
        <w:rPr>
          <w:rFonts w:ascii="Times New Roman" w:hAnsi="Times New Roman" w:cs="Times New Roman"/>
          <w:sz w:val="24"/>
          <w:szCs w:val="24"/>
        </w:rPr>
        <w:t>, although 300 mg has traditionally been noted as “stress dose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C0C8B">
        <w:rPr>
          <w:rFonts w:ascii="Times New Roman" w:hAnsi="Times New Roman" w:cs="Times New Roman"/>
          <w:sz w:val="24"/>
          <w:szCs w:val="24"/>
        </w:rPr>
        <w:t xml:space="preserve"> steroids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C8B">
        <w:rPr>
          <w:rFonts w:ascii="Times New Roman" w:hAnsi="Times New Roman" w:cs="Times New Roman"/>
          <w:sz w:val="24"/>
          <w:szCs w:val="24"/>
        </w:rPr>
        <w:t xml:space="preserve"> Doses of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>mg and 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8B">
        <w:rPr>
          <w:rFonts w:ascii="Times New Roman" w:hAnsi="Times New Roman" w:cs="Times New Roman"/>
          <w:sz w:val="24"/>
          <w:szCs w:val="24"/>
        </w:rPr>
        <w:t>mg are not recommended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nor </w:t>
      </w:r>
      <w:r>
        <w:rPr>
          <w:rFonts w:ascii="Times New Roman" w:hAnsi="Times New Roman" w:cs="Times New Roman"/>
          <w:sz w:val="24"/>
          <w:szCs w:val="24"/>
        </w:rPr>
        <w:t xml:space="preserve">are they </w:t>
      </w:r>
      <w:r w:rsidRPr="006C0C8B">
        <w:rPr>
          <w:rFonts w:ascii="Times New Roman" w:hAnsi="Times New Roman" w:cs="Times New Roman"/>
          <w:sz w:val="24"/>
          <w:szCs w:val="24"/>
        </w:rPr>
        <w:t>routinely used.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Citation: Dellinger RP, Levy MM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Rhodes A, et al. Surviving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C0C8B">
        <w:rPr>
          <w:rFonts w:ascii="Times New Roman" w:hAnsi="Times New Roman" w:cs="Times New Roman"/>
          <w:sz w:val="24"/>
          <w:szCs w:val="24"/>
        </w:rPr>
        <w:t xml:space="preserve">epsis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C0C8B">
        <w:rPr>
          <w:rFonts w:ascii="Times New Roman" w:hAnsi="Times New Roman" w:cs="Times New Roman"/>
          <w:sz w:val="24"/>
          <w:szCs w:val="24"/>
        </w:rPr>
        <w:t>ampaign: international guidelines for management of severe sepsis and septic shock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Care Med 2013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;41:580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-637.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332B83" w:rsidRPr="006C0C8B" w:rsidRDefault="00332B83" w:rsidP="00332B83">
      <w:pPr>
        <w:rPr>
          <w:rFonts w:ascii="Times New Roman" w:hAnsi="Times New Roman" w:cs="Times New Roman"/>
          <w:b/>
          <w:sz w:val="24"/>
          <w:szCs w:val="24"/>
        </w:rPr>
      </w:pPr>
      <w:r w:rsidRPr="006C0C8B">
        <w:rPr>
          <w:rFonts w:ascii="Times New Roman" w:hAnsi="Times New Roman" w:cs="Times New Roman"/>
          <w:b/>
          <w:sz w:val="24"/>
          <w:szCs w:val="24"/>
        </w:rPr>
        <w:t>Question 5 – 300 points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The patient experiences hypertriglyceridemia and is changed to a midazolam infusion. Which, if any, are likely to accumulate in this patient with prolonged use?</w:t>
      </w:r>
    </w:p>
    <w:p w:rsidR="00332B83" w:rsidRPr="006C0C8B" w:rsidRDefault="00332B83" w:rsidP="00332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Active metabolite</w:t>
      </w:r>
    </w:p>
    <w:p w:rsidR="00332B83" w:rsidRPr="006C0C8B" w:rsidRDefault="00332B83" w:rsidP="00332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Parent drug</w:t>
      </w:r>
    </w:p>
    <w:p w:rsidR="00332B83" w:rsidRPr="006C0C8B" w:rsidRDefault="00332B83" w:rsidP="00332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Both parent drug and active metabolite</w:t>
      </w:r>
    </w:p>
    <w:p w:rsidR="00332B83" w:rsidRPr="006C0C8B" w:rsidRDefault="00332B83" w:rsidP="00332B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No accumulation of parent drug or active metabolite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Answer: 3. 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 xml:space="preserve"> parent drug and active metabolite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lastRenderedPageBreak/>
        <w:t xml:space="preserve">Rationale: </w:t>
      </w:r>
      <w:r>
        <w:rPr>
          <w:rFonts w:ascii="Times New Roman" w:hAnsi="Times New Roman" w:cs="Times New Roman"/>
          <w:sz w:val="24"/>
          <w:szCs w:val="24"/>
        </w:rPr>
        <w:t>Given</w:t>
      </w:r>
      <w:r w:rsidRPr="006C0C8B">
        <w:rPr>
          <w:rFonts w:ascii="Times New Roman" w:hAnsi="Times New Roman" w:cs="Times New Roman"/>
          <w:sz w:val="24"/>
          <w:szCs w:val="24"/>
        </w:rPr>
        <w:t xml:space="preserve"> the data presented, the patient appears to have some degree of hepatic impairment. If the liver metabolism is impaired, the parent drug has the potential to accumulate significantly</w:t>
      </w:r>
      <w:r>
        <w:rPr>
          <w:rFonts w:ascii="Times New Roman" w:hAnsi="Times New Roman" w:cs="Times New Roman"/>
          <w:sz w:val="24"/>
          <w:szCs w:val="24"/>
        </w:rPr>
        <w:t>, given that</w:t>
      </w:r>
      <w:r w:rsidRPr="006C0C8B">
        <w:rPr>
          <w:rFonts w:ascii="Times New Roman" w:hAnsi="Times New Roman" w:cs="Times New Roman"/>
          <w:sz w:val="24"/>
          <w:szCs w:val="24"/>
        </w:rPr>
        <w:t xml:space="preserve"> midazolam is extensively metabolized by the liver. This accumulation of midazolam in patients with reduced liver function has been </w:t>
      </w:r>
      <w:r>
        <w:rPr>
          <w:rFonts w:ascii="Times New Roman" w:hAnsi="Times New Roman" w:cs="Times New Roman"/>
          <w:sz w:val="24"/>
          <w:szCs w:val="24"/>
        </w:rPr>
        <w:t>shown</w:t>
      </w:r>
      <w:r w:rsidRPr="006C0C8B">
        <w:rPr>
          <w:rFonts w:ascii="Times New Roman" w:hAnsi="Times New Roman" w:cs="Times New Roman"/>
          <w:sz w:val="24"/>
          <w:szCs w:val="24"/>
        </w:rPr>
        <w:t xml:space="preserve"> to occur even after short courses of procedural sedation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6C0C8B">
        <w:rPr>
          <w:rFonts w:ascii="Times New Roman" w:hAnsi="Times New Roman" w:cs="Times New Roman"/>
          <w:sz w:val="24"/>
          <w:szCs w:val="24"/>
        </w:rPr>
        <w:t>would be even more likely to occur in this setting with prolonged use. This patient also has renal impairment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as evidenced by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Pr="006C0C8B">
        <w:rPr>
          <w:rFonts w:ascii="Times New Roman" w:hAnsi="Times New Roman" w:cs="Times New Roman"/>
          <w:sz w:val="24"/>
          <w:szCs w:val="24"/>
        </w:rPr>
        <w:t>BUN/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SCr.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The active metabolites of midazolam have sedative properties and can accumulate significantly in renal impairment and lead to a prolonged sedative effect (even up to days).</w:t>
      </w:r>
    </w:p>
    <w:p w:rsidR="00332B83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>Citations: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Barr J, Fraser GL,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Runtillo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C0C8B">
        <w:rPr>
          <w:rFonts w:ascii="Times New Roman" w:hAnsi="Times New Roman" w:cs="Times New Roman"/>
          <w:sz w:val="24"/>
          <w:szCs w:val="24"/>
        </w:rPr>
        <w:t>t al. Clinical practice guidelines for the management of pain, agitation, and delirium in adult patients in the intensive care unit.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Care Med 2013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;41:263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-306.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Bauer TM, Ritz R,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Haberthur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C, et al. Prolonged sedation due to accumulation of conjugated metabolites of midazolam. Lancet 1995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;346:145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-7.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0C8B">
        <w:rPr>
          <w:rFonts w:ascii="Times New Roman" w:hAnsi="Times New Roman" w:cs="Times New Roman"/>
          <w:sz w:val="24"/>
          <w:szCs w:val="24"/>
        </w:rPr>
        <w:t>Khanaysi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I, William N, Olga A, et al. Sub-clinical hepatic encephalopathy in cirrhotic patients is not aggravated by sedation with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propofol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compared to midazolam: a randomized controlled study. J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Hepatol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2011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;54:72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  <w:r w:rsidRPr="006C0C8B">
        <w:rPr>
          <w:rFonts w:ascii="Times New Roman" w:hAnsi="Times New Roman" w:cs="Times New Roman"/>
          <w:sz w:val="24"/>
          <w:szCs w:val="24"/>
        </w:rPr>
        <w:t xml:space="preserve">Spina SP, </w:t>
      </w:r>
      <w:proofErr w:type="spellStart"/>
      <w:r w:rsidRPr="006C0C8B">
        <w:rPr>
          <w:rFonts w:ascii="Times New Roman" w:hAnsi="Times New Roman" w:cs="Times New Roman"/>
          <w:sz w:val="24"/>
          <w:szCs w:val="24"/>
        </w:rPr>
        <w:t>Ensom</w:t>
      </w:r>
      <w:proofErr w:type="spellEnd"/>
      <w:r w:rsidRPr="006C0C8B">
        <w:rPr>
          <w:rFonts w:ascii="Times New Roman" w:hAnsi="Times New Roman" w:cs="Times New Roman"/>
          <w:sz w:val="24"/>
          <w:szCs w:val="24"/>
        </w:rPr>
        <w:t xml:space="preserve"> MH. Clinical pharmacokinetic monitoring of midazolam in critically ill patients. Pharmacotherapy 2007</w:t>
      </w:r>
      <w:proofErr w:type="gramStart"/>
      <w:r w:rsidRPr="006C0C8B">
        <w:rPr>
          <w:rFonts w:ascii="Times New Roman" w:hAnsi="Times New Roman" w:cs="Times New Roman"/>
          <w:sz w:val="24"/>
          <w:szCs w:val="24"/>
        </w:rPr>
        <w:t>;27:389</w:t>
      </w:r>
      <w:proofErr w:type="gramEnd"/>
      <w:r w:rsidRPr="006C0C8B">
        <w:rPr>
          <w:rFonts w:ascii="Times New Roman" w:hAnsi="Times New Roman" w:cs="Times New Roman"/>
          <w:sz w:val="24"/>
          <w:szCs w:val="24"/>
        </w:rPr>
        <w:t>-98.</w:t>
      </w:r>
    </w:p>
    <w:p w:rsidR="00332B83" w:rsidRPr="006C0C8B" w:rsidRDefault="00332B83" w:rsidP="00332B83">
      <w:pPr>
        <w:rPr>
          <w:rFonts w:ascii="Times New Roman" w:hAnsi="Times New Roman" w:cs="Times New Roman"/>
          <w:sz w:val="24"/>
          <w:szCs w:val="24"/>
        </w:rPr>
      </w:pPr>
    </w:p>
    <w:p w:rsidR="00695B6C" w:rsidRDefault="00332B83"/>
    <w:sectPr w:rsidR="0069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5FB2"/>
    <w:multiLevelType w:val="hybridMultilevel"/>
    <w:tmpl w:val="EEBC2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716"/>
    <w:multiLevelType w:val="hybridMultilevel"/>
    <w:tmpl w:val="236C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60A8F"/>
    <w:multiLevelType w:val="hybridMultilevel"/>
    <w:tmpl w:val="8CC2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3F6F"/>
    <w:multiLevelType w:val="hybridMultilevel"/>
    <w:tmpl w:val="A6D24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03856"/>
    <w:multiLevelType w:val="hybridMultilevel"/>
    <w:tmpl w:val="15DC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3"/>
    <w:rsid w:val="00332B83"/>
    <w:rsid w:val="00B85057"/>
    <w:rsid w:val="00E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5750-9121-4B7C-96A2-DD6D32CD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Kucera</dc:creator>
  <cp:keywords/>
  <dc:description/>
  <cp:lastModifiedBy>Michelle Kucera</cp:lastModifiedBy>
  <cp:revision>1</cp:revision>
  <dcterms:created xsi:type="dcterms:W3CDTF">2016-09-29T16:18:00Z</dcterms:created>
  <dcterms:modified xsi:type="dcterms:W3CDTF">2016-09-29T16:20:00Z</dcterms:modified>
</cp:coreProperties>
</file>