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6FC8">
        <w:rPr>
          <w:rFonts w:ascii="Times New Roman" w:hAnsi="Times New Roman" w:cs="Times New Roman"/>
          <w:b/>
          <w:sz w:val="24"/>
          <w:szCs w:val="24"/>
        </w:rPr>
        <w:t>Clinical Case Segment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Vignette: A 35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FC8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FC8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Caucasian woman</w:t>
      </w:r>
      <w:r w:rsidRPr="00276FC8">
        <w:rPr>
          <w:rFonts w:ascii="Times New Roman" w:hAnsi="Times New Roman" w:cs="Times New Roman"/>
          <w:sz w:val="24"/>
          <w:szCs w:val="24"/>
        </w:rPr>
        <w:t xml:space="preserve"> with acute lymphocytic leukemia (ALL) underwent total body irradiation and allogeneic bone marrow transplantation 2 weeks ago. She is currently in the intensive care unit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276FC8">
        <w:rPr>
          <w:rFonts w:ascii="Times New Roman" w:hAnsi="Times New Roman" w:cs="Times New Roman"/>
          <w:sz w:val="24"/>
          <w:szCs w:val="24"/>
        </w:rPr>
        <w:t xml:space="preserve"> an increased severity of illness while awaiting stem cell engraftment. She developed </w:t>
      </w:r>
      <w:r w:rsidRPr="00DF0DD3">
        <w:rPr>
          <w:rFonts w:ascii="Times New Roman" w:hAnsi="Times New Roman" w:cs="Times New Roman"/>
          <w:i/>
          <w:sz w:val="24"/>
          <w:szCs w:val="24"/>
        </w:rPr>
        <w:t>Acinetobacter</w:t>
      </w:r>
      <w:r w:rsidRPr="00276FC8">
        <w:rPr>
          <w:rFonts w:ascii="Times New Roman" w:hAnsi="Times New Roman" w:cs="Times New Roman"/>
          <w:sz w:val="24"/>
          <w:szCs w:val="24"/>
        </w:rPr>
        <w:t xml:space="preserve"> pneumonia and is on day 7 of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and tobramycin.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Pr="00276FC8">
        <w:rPr>
          <w:rFonts w:ascii="Times New Roman" w:hAnsi="Times New Roman" w:cs="Times New Roman"/>
          <w:sz w:val="24"/>
          <w:szCs w:val="24"/>
        </w:rPr>
        <w:t xml:space="preserve">fevers </w:t>
      </w:r>
      <w:r>
        <w:rPr>
          <w:rFonts w:ascii="Times New Roman" w:hAnsi="Times New Roman" w:cs="Times New Roman"/>
          <w:sz w:val="24"/>
          <w:szCs w:val="24"/>
        </w:rPr>
        <w:t xml:space="preserve">(temperatures </w:t>
      </w:r>
      <w:r w:rsidRPr="00276FC8">
        <w:rPr>
          <w:rFonts w:ascii="Times New Roman" w:hAnsi="Times New Roman" w:cs="Times New Roman"/>
          <w:sz w:val="24"/>
          <w:szCs w:val="24"/>
        </w:rPr>
        <w:t>as high as 40.6°C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FC8">
        <w:rPr>
          <w:rFonts w:ascii="Times New Roman" w:hAnsi="Times New Roman" w:cs="Times New Roman"/>
          <w:sz w:val="24"/>
          <w:szCs w:val="24"/>
        </w:rPr>
        <w:t xml:space="preserve">, decreasing mental status, decreased urine output, increased sputum production, and worsening respiratory function over the past 48 hours, she has been intubated and placed on a mechanical ventilator. Chest </w:t>
      </w:r>
      <w:r>
        <w:rPr>
          <w:rFonts w:ascii="Times New Roman" w:hAnsi="Times New Roman" w:cs="Times New Roman"/>
          <w:sz w:val="24"/>
          <w:szCs w:val="24"/>
        </w:rPr>
        <w:t>radiography</w:t>
      </w:r>
      <w:r w:rsidRPr="00276F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computed tomography</w:t>
      </w:r>
      <w:r w:rsidRPr="00276FC8">
        <w:rPr>
          <w:rFonts w:ascii="Times New Roman" w:hAnsi="Times New Roman" w:cs="Times New Roman"/>
          <w:sz w:val="24"/>
          <w:szCs w:val="24"/>
        </w:rPr>
        <w:t xml:space="preserve"> scan </w:t>
      </w:r>
      <w:r>
        <w:rPr>
          <w:rFonts w:ascii="Times New Roman" w:hAnsi="Times New Roman" w:cs="Times New Roman"/>
          <w:sz w:val="24"/>
          <w:szCs w:val="24"/>
        </w:rPr>
        <w:t>reveal</w:t>
      </w:r>
      <w:r w:rsidRPr="00276FC8">
        <w:rPr>
          <w:rFonts w:ascii="Times New Roman" w:hAnsi="Times New Roman" w:cs="Times New Roman"/>
          <w:sz w:val="24"/>
          <w:szCs w:val="24"/>
        </w:rPr>
        <w:t xml:space="preserve"> a left lower lobe infiltrate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76FC8">
        <w:rPr>
          <w:rFonts w:ascii="Times New Roman" w:hAnsi="Times New Roman" w:cs="Times New Roman"/>
          <w:sz w:val="24"/>
          <w:szCs w:val="24"/>
        </w:rPr>
        <w:t>halo sign. A sputum sample is sent to the laboratory for culture.</w:t>
      </w:r>
      <w:r w:rsidRPr="00276FC8">
        <w:rPr>
          <w:rFonts w:ascii="Times New Roman" w:hAnsi="Times New Roman" w:cs="Times New Roman"/>
          <w:sz w:val="24"/>
          <w:szCs w:val="24"/>
        </w:rPr>
        <w:cr/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Past Medical History: ALL,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76FC8">
        <w:rPr>
          <w:rFonts w:ascii="Times New Roman" w:hAnsi="Times New Roman" w:cs="Times New Roman"/>
          <w:sz w:val="24"/>
          <w:szCs w:val="24"/>
        </w:rPr>
        <w:t xml:space="preserve">ypertension,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C8">
        <w:rPr>
          <w:rFonts w:ascii="Times New Roman" w:hAnsi="Times New Roman" w:cs="Times New Roman"/>
          <w:sz w:val="24"/>
          <w:szCs w:val="24"/>
        </w:rPr>
        <w:t xml:space="preserve">nemia,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C8">
        <w:rPr>
          <w:rFonts w:ascii="Times New Roman" w:hAnsi="Times New Roman" w:cs="Times New Roman"/>
          <w:sz w:val="24"/>
          <w:szCs w:val="24"/>
        </w:rPr>
        <w:t>trial fibrillation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Social History: Noncontributory,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6FC8">
        <w:rPr>
          <w:rFonts w:ascii="Times New Roman" w:hAnsi="Times New Roman" w:cs="Times New Roman"/>
          <w:sz w:val="24"/>
          <w:szCs w:val="24"/>
        </w:rPr>
        <w:t xml:space="preserve">o alcohol,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76FC8">
        <w:rPr>
          <w:rFonts w:ascii="Times New Roman" w:hAnsi="Times New Roman" w:cs="Times New Roman"/>
          <w:sz w:val="24"/>
          <w:szCs w:val="24"/>
        </w:rPr>
        <w:t>ccasional marijuana use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Cur</w:t>
      </w:r>
      <w:r>
        <w:rPr>
          <w:rFonts w:ascii="Times New Roman" w:hAnsi="Times New Roman" w:cs="Times New Roman"/>
          <w:sz w:val="24"/>
          <w:szCs w:val="24"/>
        </w:rPr>
        <w:t xml:space="preserve">rent Medications: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76FC8">
        <w:rPr>
          <w:rFonts w:ascii="Times New Roman" w:hAnsi="Times New Roman" w:cs="Times New Roman"/>
          <w:sz w:val="24"/>
          <w:szCs w:val="24"/>
        </w:rPr>
        <w:t>azobactam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g every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hours, tobramycin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mg/kg every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hours, oxycodone 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6FC8">
        <w:rPr>
          <w:rFonts w:ascii="Times New Roman" w:hAnsi="Times New Roman" w:cs="Times New Roman"/>
          <w:sz w:val="24"/>
          <w:szCs w:val="24"/>
        </w:rPr>
        <w:t>10 mg every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 xml:space="preserve">hours as needed, furosemide 20 mg twice daily, simvastatin 40 mg daily, cyclosporine 200 mg twice daily, prednisone 20 mg daily, and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filgrastim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300 mcg every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hours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Allergies: No known drug allergies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Vital Signs: Temperature 40.1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276FC8">
        <w:rPr>
          <w:rFonts w:ascii="Times New Roman" w:hAnsi="Times New Roman" w:cs="Times New Roman"/>
          <w:sz w:val="24"/>
          <w:szCs w:val="24"/>
        </w:rPr>
        <w:t xml:space="preserve">C; </w:t>
      </w:r>
      <w:r>
        <w:rPr>
          <w:rFonts w:ascii="Times New Roman" w:hAnsi="Times New Roman" w:cs="Times New Roman"/>
          <w:sz w:val="24"/>
          <w:szCs w:val="24"/>
        </w:rPr>
        <w:t>heart rate</w:t>
      </w:r>
      <w:r w:rsidRPr="00276FC8">
        <w:rPr>
          <w:rFonts w:ascii="Times New Roman" w:hAnsi="Times New Roman" w:cs="Times New Roman"/>
          <w:sz w:val="24"/>
          <w:szCs w:val="24"/>
        </w:rPr>
        <w:t xml:space="preserve"> 100 beats/min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276F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76FC8">
        <w:rPr>
          <w:rFonts w:ascii="Times New Roman" w:hAnsi="Times New Roman" w:cs="Times New Roman"/>
          <w:sz w:val="24"/>
          <w:szCs w:val="24"/>
        </w:rPr>
        <w:t>espiratory rate 23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6FC8">
        <w:rPr>
          <w:rFonts w:ascii="Times New Roman" w:hAnsi="Times New Roman" w:cs="Times New Roman"/>
          <w:sz w:val="24"/>
          <w:szCs w:val="24"/>
        </w:rPr>
        <w:t>48 breaths/min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276F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weight 72.1 kg; h</w:t>
      </w:r>
      <w:r w:rsidRPr="00276FC8">
        <w:rPr>
          <w:rFonts w:ascii="Times New Roman" w:hAnsi="Times New Roman" w:cs="Times New Roman"/>
          <w:sz w:val="24"/>
          <w:szCs w:val="24"/>
        </w:rPr>
        <w:t xml:space="preserve">eight 168 cm;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76FC8">
        <w:rPr>
          <w:rFonts w:ascii="Times New Roman" w:hAnsi="Times New Roman" w:cs="Times New Roman"/>
          <w:sz w:val="24"/>
          <w:szCs w:val="24"/>
        </w:rPr>
        <w:t>lood pressure 94/50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Hg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>oratory</w:t>
      </w:r>
      <w:r w:rsidRPr="00276FC8">
        <w:rPr>
          <w:rFonts w:ascii="Times New Roman" w:hAnsi="Times New Roman" w:cs="Times New Roman"/>
          <w:sz w:val="24"/>
          <w:szCs w:val="24"/>
        </w:rPr>
        <w:t xml:space="preserve"> Values: </w:t>
      </w:r>
      <w:r>
        <w:rPr>
          <w:rFonts w:ascii="Times New Roman" w:hAnsi="Times New Roman" w:cs="Times New Roman"/>
          <w:sz w:val="24"/>
          <w:szCs w:val="24"/>
        </w:rPr>
        <w:t>White blood cell count</w:t>
      </w:r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x 10</w:t>
      </w:r>
      <w:r w:rsidRPr="007923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cells/mm</w:t>
      </w:r>
      <w:r w:rsidRPr="007923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(3/ x10</w:t>
      </w:r>
      <w:r w:rsidRPr="0079231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cells/L) p</w:t>
      </w:r>
      <w:r w:rsidRPr="00276FC8">
        <w:rPr>
          <w:rFonts w:ascii="Times New Roman" w:hAnsi="Times New Roman" w:cs="Times New Roman"/>
          <w:sz w:val="24"/>
          <w:szCs w:val="24"/>
        </w:rPr>
        <w:t>latelet</w:t>
      </w:r>
      <w:r>
        <w:rPr>
          <w:rFonts w:ascii="Times New Roman" w:hAnsi="Times New Roman" w:cs="Times New Roman"/>
          <w:sz w:val="24"/>
          <w:szCs w:val="24"/>
        </w:rPr>
        <w:t xml:space="preserve"> count </w:t>
      </w:r>
      <w:r w:rsidRPr="00276FC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0,000/mm</w:t>
      </w:r>
      <w:r w:rsidRPr="007923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(3.9 x10</w:t>
      </w:r>
      <w:r w:rsidRPr="0079231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/L)</w:t>
      </w:r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6FC8">
        <w:rPr>
          <w:rFonts w:ascii="Times New Roman" w:hAnsi="Times New Roman" w:cs="Times New Roman"/>
          <w:sz w:val="24"/>
          <w:szCs w:val="24"/>
        </w:rPr>
        <w:t>odium 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/L; potassium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/L; c</w:t>
      </w:r>
      <w:r w:rsidRPr="00276FC8">
        <w:rPr>
          <w:rFonts w:ascii="Times New Roman" w:hAnsi="Times New Roman" w:cs="Times New Roman"/>
          <w:sz w:val="24"/>
          <w:szCs w:val="24"/>
        </w:rPr>
        <w:t>hloride 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/L; bicarbonate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 w:rsidRPr="00276F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76FC8">
        <w:rPr>
          <w:rFonts w:ascii="Times New Roman" w:hAnsi="Times New Roman" w:cs="Times New Roman"/>
          <w:sz w:val="24"/>
          <w:szCs w:val="24"/>
        </w:rPr>
        <w:t>lucose 196 mg/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(10.8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blood urea nitrogen</w:t>
      </w:r>
      <w:r w:rsidRPr="00276FC8">
        <w:rPr>
          <w:rFonts w:ascii="Times New Roman" w:hAnsi="Times New Roman" w:cs="Times New Roman"/>
          <w:sz w:val="24"/>
          <w:szCs w:val="24"/>
        </w:rPr>
        <w:t xml:space="preserve"> 38 mg/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(13.6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6FC8">
        <w:rPr>
          <w:rFonts w:ascii="Times New Roman" w:hAnsi="Times New Roman" w:cs="Times New Roman"/>
          <w:sz w:val="24"/>
          <w:szCs w:val="24"/>
        </w:rPr>
        <w:t>erum creatinine 1.8 mg/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(159.2 </w:t>
      </w:r>
      <w:r>
        <w:rPr>
          <w:rFonts w:ascii="Times New Roman" w:hAnsi="Times New Roman" w:cs="Times New Roman"/>
          <w:sz w:val="24"/>
          <w:szCs w:val="24"/>
        </w:rPr>
        <w:t>micromoles</w:t>
      </w:r>
      <w:r w:rsidRPr="00276FC8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F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INR 1.6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Data: Blood and s</w:t>
      </w:r>
      <w:r w:rsidRPr="00276FC8">
        <w:rPr>
          <w:rFonts w:ascii="Times New Roman" w:hAnsi="Times New Roman" w:cs="Times New Roman"/>
          <w:sz w:val="24"/>
          <w:szCs w:val="24"/>
        </w:rPr>
        <w:t xml:space="preserve">putum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76FC8">
        <w:rPr>
          <w:rFonts w:ascii="Times New Roman" w:hAnsi="Times New Roman" w:cs="Times New Roman"/>
          <w:sz w:val="24"/>
          <w:szCs w:val="24"/>
        </w:rPr>
        <w:t xml:space="preserve">ultures: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>ending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Microscopic evaluation of sputum </w:t>
      </w:r>
      <w:r>
        <w:rPr>
          <w:rFonts w:ascii="Times New Roman" w:hAnsi="Times New Roman" w:cs="Times New Roman"/>
          <w:sz w:val="24"/>
          <w:szCs w:val="24"/>
        </w:rPr>
        <w:t>reveals</w:t>
      </w:r>
      <w:r w:rsidRPr="00276FC8">
        <w:rPr>
          <w:rFonts w:ascii="Times New Roman" w:hAnsi="Times New Roman" w:cs="Times New Roman"/>
          <w:sz w:val="24"/>
          <w:szCs w:val="24"/>
        </w:rPr>
        <w:t xml:space="preserve"> filamentous fungi (mold), likely </w:t>
      </w:r>
      <w:r w:rsidRPr="0079231E">
        <w:rPr>
          <w:rFonts w:ascii="Times New Roman" w:hAnsi="Times New Roman" w:cs="Times New Roman"/>
          <w:i/>
          <w:sz w:val="24"/>
          <w:szCs w:val="24"/>
        </w:rPr>
        <w:t>Aspergillus</w:t>
      </w:r>
      <w:r w:rsidRPr="00276FC8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276FC8">
        <w:rPr>
          <w:rFonts w:ascii="Times New Roman" w:hAnsi="Times New Roman" w:cs="Times New Roman"/>
          <w:sz w:val="24"/>
          <w:szCs w:val="24"/>
        </w:rPr>
        <w:t xml:space="preserve"> (species identification to follow)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Galactomannan </w:t>
      </w:r>
      <w:r>
        <w:rPr>
          <w:rFonts w:ascii="Times New Roman" w:hAnsi="Times New Roman" w:cs="Times New Roman"/>
          <w:sz w:val="24"/>
          <w:szCs w:val="24"/>
        </w:rPr>
        <w:t>enzyme-linked immunoassay</w:t>
      </w:r>
      <w:r w:rsidRPr="00276FC8">
        <w:rPr>
          <w:rFonts w:ascii="Times New Roman" w:hAnsi="Times New Roman" w:cs="Times New Roman"/>
          <w:sz w:val="24"/>
          <w:szCs w:val="24"/>
        </w:rPr>
        <w:t xml:space="preserve"> was positive at 1.8 (normal range 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6FC8">
        <w:rPr>
          <w:rFonts w:ascii="Times New Roman" w:hAnsi="Times New Roman" w:cs="Times New Roman"/>
          <w:sz w:val="24"/>
          <w:szCs w:val="24"/>
        </w:rPr>
        <w:t>0.8)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Other Data: Intravenous lines: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2 peripherals, 1 arterial line, 1 triple lumen peripherally inserted central catheter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</w:p>
    <w:p w:rsidR="009572CA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</w:p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r w:rsidRPr="00276F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1 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What risk factor is </w:t>
      </w:r>
      <w:r w:rsidRPr="00276FC8">
        <w:rPr>
          <w:rFonts w:ascii="Times New Roman" w:hAnsi="Times New Roman" w:cs="Times New Roman"/>
          <w:b/>
          <w:caps/>
          <w:sz w:val="24"/>
          <w:szCs w:val="24"/>
        </w:rPr>
        <w:t>least</w:t>
      </w:r>
      <w:r w:rsidRPr="00276FC8">
        <w:rPr>
          <w:rFonts w:ascii="Times New Roman" w:hAnsi="Times New Roman" w:cs="Times New Roman"/>
          <w:sz w:val="24"/>
          <w:szCs w:val="24"/>
        </w:rPr>
        <w:t xml:space="preserve"> likely to be contributing to this patient’s susceptibility to an invasive mold infection?</w:t>
      </w:r>
    </w:p>
    <w:p w:rsidR="009572CA" w:rsidRPr="00276FC8" w:rsidRDefault="009572CA" w:rsidP="0095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Age</w:t>
      </w:r>
    </w:p>
    <w:p w:rsidR="009572CA" w:rsidRPr="00276FC8" w:rsidRDefault="009572CA" w:rsidP="0095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Allogeneic bone marrow transplantation</w:t>
      </w:r>
    </w:p>
    <w:p w:rsidR="009572CA" w:rsidRPr="00276FC8" w:rsidRDefault="009572CA" w:rsidP="0095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Broad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FC8">
        <w:rPr>
          <w:rFonts w:ascii="Times New Roman" w:hAnsi="Times New Roman" w:cs="Times New Roman"/>
          <w:sz w:val="24"/>
          <w:szCs w:val="24"/>
        </w:rPr>
        <w:t>spectrum antibiotics</w:t>
      </w:r>
    </w:p>
    <w:p w:rsidR="009572CA" w:rsidRPr="00276FC8" w:rsidRDefault="009572CA" w:rsidP="0095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Cyclosporine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Answer: 1. Age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Rationale: Common risk factors for invasive mold infection are immunosuppression, hematologic malignancy, bone marrow transplantation, neutropenia, and broad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FC8">
        <w:rPr>
          <w:rFonts w:ascii="Times New Roman" w:hAnsi="Times New Roman" w:cs="Times New Roman"/>
          <w:sz w:val="24"/>
          <w:szCs w:val="24"/>
        </w:rPr>
        <w:t>spectrum antibiotics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Walsh TJ,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EJ, </w:t>
      </w:r>
      <w:proofErr w:type="gramStart"/>
      <w:r>
        <w:rPr>
          <w:rFonts w:ascii="Times New Roman" w:hAnsi="Times New Roman" w:cs="Times New Roman"/>
          <w:sz w:val="24"/>
          <w:szCs w:val="24"/>
        </w:rPr>
        <w:t>Denning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DW, et al. </w:t>
      </w:r>
      <w:r w:rsidRPr="00276FC8">
        <w:rPr>
          <w:rFonts w:ascii="Times New Roman" w:hAnsi="Times New Roman" w:cs="Times New Roman"/>
          <w:sz w:val="24"/>
          <w:szCs w:val="24"/>
        </w:rPr>
        <w:t xml:space="preserve">Treatment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C8">
        <w:rPr>
          <w:rFonts w:ascii="Times New Roman" w:hAnsi="Times New Roman" w:cs="Times New Roman"/>
          <w:sz w:val="24"/>
          <w:szCs w:val="24"/>
        </w:rPr>
        <w:t xml:space="preserve">spergillosis: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76FC8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76FC8">
        <w:rPr>
          <w:rFonts w:ascii="Times New Roman" w:hAnsi="Times New Roman" w:cs="Times New Roman"/>
          <w:sz w:val="24"/>
          <w:szCs w:val="24"/>
        </w:rPr>
        <w:t xml:space="preserve">uidelines of the Infectious Diseases Society of America.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Infect 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2008</w:t>
      </w:r>
      <w:proofErr w:type="gramStart"/>
      <w:r>
        <w:rPr>
          <w:rFonts w:ascii="Times New Roman" w:hAnsi="Times New Roman" w:cs="Times New Roman"/>
          <w:sz w:val="24"/>
          <w:szCs w:val="24"/>
        </w:rPr>
        <w:t>;46</w:t>
      </w:r>
      <w:r w:rsidRPr="00276FC8">
        <w:rPr>
          <w:rFonts w:ascii="Times New Roman" w:hAnsi="Times New Roman" w:cs="Times New Roman"/>
          <w:sz w:val="24"/>
          <w:szCs w:val="24"/>
        </w:rPr>
        <w:t>:327</w:t>
      </w:r>
      <w:proofErr w:type="gramEnd"/>
      <w:r w:rsidRPr="00276FC8">
        <w:rPr>
          <w:rFonts w:ascii="Times New Roman" w:hAnsi="Times New Roman" w:cs="Times New Roman"/>
          <w:sz w:val="24"/>
          <w:szCs w:val="24"/>
        </w:rPr>
        <w:t>-60.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</w:p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r w:rsidRPr="00276FC8">
        <w:rPr>
          <w:rFonts w:ascii="Times New Roman" w:hAnsi="Times New Roman" w:cs="Times New Roman"/>
          <w:b/>
          <w:sz w:val="24"/>
          <w:szCs w:val="24"/>
        </w:rPr>
        <w:t>Question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What is the most appropriate antifungal regimen to treat this patient’s invasive </w:t>
      </w:r>
      <w:r w:rsidRPr="0079231E">
        <w:rPr>
          <w:rFonts w:ascii="Times New Roman" w:hAnsi="Times New Roman" w:cs="Times New Roman"/>
          <w:i/>
          <w:sz w:val="24"/>
          <w:szCs w:val="24"/>
        </w:rPr>
        <w:t>Aspergillus</w:t>
      </w:r>
      <w:r w:rsidRPr="00276FC8">
        <w:rPr>
          <w:rFonts w:ascii="Times New Roman" w:hAnsi="Times New Roman" w:cs="Times New Roman"/>
          <w:sz w:val="24"/>
          <w:szCs w:val="24"/>
        </w:rPr>
        <w:t xml:space="preserve"> infection?</w:t>
      </w:r>
    </w:p>
    <w:p w:rsidR="009572CA" w:rsidRPr="00276FC8" w:rsidRDefault="009572CA" w:rsidP="00957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Amphotericin B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intravenously</w:t>
      </w:r>
    </w:p>
    <w:p w:rsidR="009572CA" w:rsidRPr="00276FC8" w:rsidRDefault="009572CA" w:rsidP="00957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6FC8">
        <w:rPr>
          <w:rFonts w:ascii="Times New Roman" w:hAnsi="Times New Roman" w:cs="Times New Roman"/>
          <w:sz w:val="24"/>
          <w:szCs w:val="24"/>
        </w:rPr>
        <w:t>Caspofungin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intravenously</w:t>
      </w:r>
    </w:p>
    <w:p w:rsidR="009572CA" w:rsidRPr="00276FC8" w:rsidRDefault="009572CA" w:rsidP="00957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Posaconazole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oral suspension</w:t>
      </w:r>
    </w:p>
    <w:p w:rsidR="009572CA" w:rsidRPr="00276FC8" w:rsidRDefault="009572CA" w:rsidP="00957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intravenously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intravenously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is the treatment of choice for a patient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76FC8">
        <w:rPr>
          <w:rFonts w:ascii="Times New Roman" w:hAnsi="Times New Roman" w:cs="Times New Roman"/>
          <w:sz w:val="24"/>
          <w:szCs w:val="24"/>
        </w:rPr>
        <w:t xml:space="preserve">invasive </w:t>
      </w:r>
      <w:r w:rsidRPr="0079231E">
        <w:rPr>
          <w:rFonts w:ascii="Times New Roman" w:hAnsi="Times New Roman" w:cs="Times New Roman"/>
          <w:i/>
          <w:sz w:val="24"/>
          <w:szCs w:val="24"/>
        </w:rPr>
        <w:t>Aspergillus</w:t>
      </w:r>
      <w:r w:rsidRPr="00276FC8">
        <w:rPr>
          <w:rFonts w:ascii="Times New Roman" w:hAnsi="Times New Roman" w:cs="Times New Roman"/>
          <w:sz w:val="24"/>
          <w:szCs w:val="24"/>
        </w:rPr>
        <w:t xml:space="preserve"> infection</w:t>
      </w:r>
      <w:r>
        <w:rPr>
          <w:rFonts w:ascii="Times New Roman" w:hAnsi="Times New Roman" w:cs="Times New Roman"/>
          <w:sz w:val="24"/>
          <w:szCs w:val="24"/>
        </w:rPr>
        <w:t>, according to</w:t>
      </w:r>
      <w:r w:rsidRPr="00276FC8">
        <w:rPr>
          <w:rFonts w:ascii="Times New Roman" w:hAnsi="Times New Roman" w:cs="Times New Roman"/>
          <w:sz w:val="24"/>
          <w:szCs w:val="24"/>
        </w:rPr>
        <w:t xml:space="preserve"> the guidelines. Amphotericin is considered an alternative, but the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product should not be used in this patient with renal insufficiency.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Caspofungin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is approved for salvage therapy only or can be added as a combination agent with weak evidence.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Posaconazole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is an alternative, but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Pr="00276FC8">
        <w:rPr>
          <w:rFonts w:ascii="Times New Roman" w:hAnsi="Times New Roman" w:cs="Times New Roman"/>
          <w:sz w:val="24"/>
          <w:szCs w:val="24"/>
        </w:rPr>
        <w:t xml:space="preserve">not preferred </w:t>
      </w:r>
      <w:r>
        <w:rPr>
          <w:rFonts w:ascii="Times New Roman" w:hAnsi="Times New Roman" w:cs="Times New Roman"/>
          <w:sz w:val="24"/>
          <w:szCs w:val="24"/>
        </w:rPr>
        <w:t xml:space="preserve">because of the </w:t>
      </w:r>
      <w:r w:rsidRPr="00276FC8">
        <w:rPr>
          <w:rFonts w:ascii="Times New Roman" w:hAnsi="Times New Roman" w:cs="Times New Roman"/>
          <w:sz w:val="24"/>
          <w:szCs w:val="24"/>
        </w:rPr>
        <w:t>lack of data compared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6FC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intravenous</w:t>
      </w:r>
      <w:r w:rsidRPr="00276FC8">
        <w:rPr>
          <w:rFonts w:ascii="Times New Roman" w:hAnsi="Times New Roman" w:cs="Times New Roman"/>
          <w:sz w:val="24"/>
          <w:szCs w:val="24"/>
        </w:rPr>
        <w:t xml:space="preserve"> therapy is preferred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276FC8">
        <w:rPr>
          <w:rFonts w:ascii="Times New Roman" w:hAnsi="Times New Roman" w:cs="Times New Roman"/>
          <w:sz w:val="24"/>
          <w:szCs w:val="24"/>
        </w:rPr>
        <w:t xml:space="preserve"> erratic suspension bioavailability.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Walsh TJ,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EJ, </w:t>
      </w:r>
      <w:proofErr w:type="gramStart"/>
      <w:r>
        <w:rPr>
          <w:rFonts w:ascii="Times New Roman" w:hAnsi="Times New Roman" w:cs="Times New Roman"/>
          <w:sz w:val="24"/>
          <w:szCs w:val="24"/>
        </w:rPr>
        <w:t>Denning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DW, et al. </w:t>
      </w:r>
      <w:r w:rsidRPr="00276FC8">
        <w:rPr>
          <w:rFonts w:ascii="Times New Roman" w:hAnsi="Times New Roman" w:cs="Times New Roman"/>
          <w:sz w:val="24"/>
          <w:szCs w:val="24"/>
        </w:rPr>
        <w:t xml:space="preserve">Treatment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C8">
        <w:rPr>
          <w:rFonts w:ascii="Times New Roman" w:hAnsi="Times New Roman" w:cs="Times New Roman"/>
          <w:sz w:val="24"/>
          <w:szCs w:val="24"/>
        </w:rPr>
        <w:t xml:space="preserve">spergillosis: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76FC8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76FC8">
        <w:rPr>
          <w:rFonts w:ascii="Times New Roman" w:hAnsi="Times New Roman" w:cs="Times New Roman"/>
          <w:sz w:val="24"/>
          <w:szCs w:val="24"/>
        </w:rPr>
        <w:t>uidelines</w:t>
      </w:r>
      <w:r w:rsidDel="00C3665A"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 xml:space="preserve">of the Infectious Diseases Society of America.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 Dis</w:t>
      </w:r>
      <w:r w:rsidRPr="00276FC8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276FC8">
        <w:rPr>
          <w:rFonts w:ascii="Times New Roman" w:hAnsi="Times New Roman" w:cs="Times New Roman"/>
          <w:sz w:val="24"/>
          <w:szCs w:val="24"/>
        </w:rPr>
        <w:t>46:327</w:t>
      </w:r>
      <w:proofErr w:type="gramEnd"/>
      <w:r w:rsidRPr="00276FC8">
        <w:rPr>
          <w:rFonts w:ascii="Times New Roman" w:hAnsi="Times New Roman" w:cs="Times New Roman"/>
          <w:sz w:val="24"/>
          <w:szCs w:val="24"/>
        </w:rPr>
        <w:t>-60.</w:t>
      </w:r>
    </w:p>
    <w:p w:rsidR="009572CA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</w:p>
    <w:p w:rsidR="009572CA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</w:p>
    <w:p w:rsidR="009572CA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</w:p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r w:rsidRPr="00276FC8">
        <w:rPr>
          <w:rFonts w:ascii="Times New Roman" w:hAnsi="Times New Roman" w:cs="Times New Roman"/>
          <w:b/>
          <w:sz w:val="24"/>
          <w:szCs w:val="24"/>
        </w:rPr>
        <w:t>Question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A major drug interaction with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requires a dose reduction for which of the patient’s current medications?</w:t>
      </w:r>
    </w:p>
    <w:p w:rsidR="009572CA" w:rsidRPr="00276FC8" w:rsidRDefault="009572CA" w:rsidP="0095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Cyclosporine</w:t>
      </w:r>
    </w:p>
    <w:p w:rsidR="009572CA" w:rsidRPr="00276FC8" w:rsidRDefault="009572CA" w:rsidP="0095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6FC8">
        <w:rPr>
          <w:rFonts w:ascii="Times New Roman" w:hAnsi="Times New Roman" w:cs="Times New Roman"/>
          <w:sz w:val="24"/>
          <w:szCs w:val="24"/>
        </w:rPr>
        <w:t>Filgrastim</w:t>
      </w:r>
      <w:proofErr w:type="spellEnd"/>
    </w:p>
    <w:p w:rsidR="009572CA" w:rsidRPr="00276FC8" w:rsidRDefault="009572CA" w:rsidP="0095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Furosemide</w:t>
      </w:r>
    </w:p>
    <w:p w:rsidR="009572CA" w:rsidRPr="00276FC8" w:rsidRDefault="009572CA" w:rsidP="00957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Prednisone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Cyclosporine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is a major inhibitor of the </w:t>
      </w:r>
      <w:r>
        <w:rPr>
          <w:rFonts w:ascii="Times New Roman" w:hAnsi="Times New Roman" w:cs="Times New Roman"/>
          <w:sz w:val="24"/>
          <w:szCs w:val="24"/>
        </w:rPr>
        <w:t>cytochrome P450 (</w:t>
      </w:r>
      <w:r w:rsidRPr="00276FC8">
        <w:rPr>
          <w:rFonts w:ascii="Times New Roman" w:hAnsi="Times New Roman" w:cs="Times New Roman"/>
          <w:sz w:val="24"/>
          <w:szCs w:val="24"/>
        </w:rPr>
        <w:t>CYP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6FC8">
        <w:rPr>
          <w:rFonts w:ascii="Times New Roman" w:hAnsi="Times New Roman" w:cs="Times New Roman"/>
          <w:sz w:val="24"/>
          <w:szCs w:val="24"/>
        </w:rPr>
        <w:t xml:space="preserve"> enzyme system and will significantly increase the cyclosporine</w:t>
      </w:r>
      <w:r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276FC8">
        <w:rPr>
          <w:rFonts w:ascii="Times New Roman" w:hAnsi="Times New Roman" w:cs="Times New Roman"/>
          <w:sz w:val="24"/>
          <w:szCs w:val="24"/>
        </w:rPr>
        <w:t xml:space="preserve">, requiring a dose reduction. No interaction is present with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filgrastim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or furosemide. The interaction with p</w:t>
      </w:r>
      <w:r>
        <w:rPr>
          <w:rFonts w:ascii="Times New Roman" w:hAnsi="Times New Roman" w:cs="Times New Roman"/>
          <w:sz w:val="24"/>
          <w:szCs w:val="24"/>
        </w:rPr>
        <w:t>rednisone is not major and requires no</w:t>
      </w:r>
      <w:r w:rsidRPr="00276FC8">
        <w:rPr>
          <w:rFonts w:ascii="Times New Roman" w:hAnsi="Times New Roman" w:cs="Times New Roman"/>
          <w:sz w:val="24"/>
          <w:szCs w:val="24"/>
        </w:rPr>
        <w:t xml:space="preserve"> empiric dose adjustment, just additional monitoring.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Romero AJ,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Nilsson LG, et al. </w:t>
      </w:r>
      <w:r w:rsidRPr="00276FC8">
        <w:rPr>
          <w:rFonts w:ascii="Times New Roman" w:hAnsi="Times New Roman" w:cs="Times New Roman"/>
          <w:sz w:val="24"/>
          <w:szCs w:val="24"/>
        </w:rPr>
        <w:t xml:space="preserve">Effect of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on the pharmacokinetics of cyclosporine in renal transplant patients.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76FC8">
        <w:rPr>
          <w:rFonts w:ascii="Times New Roman" w:hAnsi="Times New Roman" w:cs="Times New Roman"/>
          <w:sz w:val="24"/>
          <w:szCs w:val="24"/>
        </w:rPr>
        <w:t>;71:226</w:t>
      </w:r>
      <w:proofErr w:type="gramEnd"/>
      <w:r w:rsidRPr="00276FC8">
        <w:rPr>
          <w:rFonts w:ascii="Times New Roman" w:hAnsi="Times New Roman" w:cs="Times New Roman"/>
          <w:sz w:val="24"/>
          <w:szCs w:val="24"/>
        </w:rPr>
        <w:t>-34.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</w:p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r w:rsidRPr="00276FC8">
        <w:rPr>
          <w:rFonts w:ascii="Times New Roman" w:hAnsi="Times New Roman" w:cs="Times New Roman"/>
          <w:b/>
          <w:sz w:val="24"/>
          <w:szCs w:val="24"/>
        </w:rPr>
        <w:t>Question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trough concentration in this patient is 0.4 mg/L. A genetic polymorphism in what enzyme might be responsible for the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subtherapeutic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concentration in this patient?</w:t>
      </w:r>
    </w:p>
    <w:p w:rsidR="009572CA" w:rsidRPr="00276FC8" w:rsidRDefault="009572CA" w:rsidP="00957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CYP2C19</w:t>
      </w:r>
    </w:p>
    <w:p w:rsidR="009572CA" w:rsidRPr="00276FC8" w:rsidRDefault="009572CA" w:rsidP="00957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CYP2D6</w:t>
      </w:r>
    </w:p>
    <w:p w:rsidR="009572CA" w:rsidRPr="00276FC8" w:rsidRDefault="009572CA" w:rsidP="00957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CYP3A4</w:t>
      </w:r>
    </w:p>
    <w:p w:rsidR="009572CA" w:rsidRPr="00276FC8" w:rsidRDefault="009572CA" w:rsidP="00957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UDP-glucuronosyltransferase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1. CYP2C19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Rationale: Two common polymorphisms present in Caucasians (</w:t>
      </w:r>
      <w:r w:rsidRPr="0079231E">
        <w:rPr>
          <w:rFonts w:ascii="Times New Roman" w:hAnsi="Times New Roman" w:cs="Times New Roman"/>
          <w:i/>
          <w:sz w:val="24"/>
          <w:szCs w:val="24"/>
        </w:rPr>
        <w:t>CYP2C19*2</w:t>
      </w:r>
      <w:r w:rsidRPr="00276FC8">
        <w:rPr>
          <w:rFonts w:ascii="Times New Roman" w:hAnsi="Times New Roman" w:cs="Times New Roman"/>
          <w:sz w:val="24"/>
          <w:szCs w:val="24"/>
        </w:rPr>
        <w:t xml:space="preserve"> and </w:t>
      </w:r>
      <w:r w:rsidRPr="0079231E">
        <w:rPr>
          <w:rFonts w:ascii="Times New Roman" w:hAnsi="Times New Roman" w:cs="Times New Roman"/>
          <w:i/>
          <w:sz w:val="24"/>
          <w:szCs w:val="24"/>
        </w:rPr>
        <w:t>CYP2C19*17</w:t>
      </w:r>
      <w:r w:rsidRPr="00276FC8">
        <w:rPr>
          <w:rFonts w:ascii="Times New Roman" w:hAnsi="Times New Roman" w:cs="Times New Roman"/>
          <w:sz w:val="24"/>
          <w:szCs w:val="24"/>
        </w:rPr>
        <w:t>) are associated with decreased or increased CYP2C19 activity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FC8">
        <w:rPr>
          <w:rFonts w:ascii="Times New Roman" w:hAnsi="Times New Roman" w:cs="Times New Roman"/>
          <w:sz w:val="24"/>
          <w:szCs w:val="24"/>
        </w:rPr>
        <w:t xml:space="preserve"> resulting in altered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concentrations.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Lamoureux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</w:rPr>
        <w:t>Duflot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Woillard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JB, et al. </w:t>
      </w:r>
      <w:r w:rsidRPr="00276FC8">
        <w:rPr>
          <w:rFonts w:ascii="Times New Roman" w:hAnsi="Times New Roman" w:cs="Times New Roman"/>
          <w:sz w:val="24"/>
          <w:szCs w:val="24"/>
        </w:rPr>
        <w:t xml:space="preserve">Impact of </w:t>
      </w:r>
      <w:r w:rsidRPr="00A41DE6">
        <w:rPr>
          <w:rFonts w:ascii="Times New Roman" w:hAnsi="Times New Roman" w:cs="Times New Roman"/>
          <w:i/>
          <w:sz w:val="24"/>
          <w:szCs w:val="24"/>
        </w:rPr>
        <w:t>CYP2C19</w:t>
      </w:r>
      <w:r w:rsidRPr="00276FC8">
        <w:rPr>
          <w:rFonts w:ascii="Times New Roman" w:hAnsi="Times New Roman" w:cs="Times New Roman"/>
          <w:sz w:val="24"/>
          <w:szCs w:val="24"/>
        </w:rPr>
        <w:t xml:space="preserve"> genetic polymorphisms on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voriconazole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dosing and exposure in adult patients with invasive fungal infections.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Antimicrob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Agents 201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;47:124</w:t>
      </w:r>
      <w:proofErr w:type="gramEnd"/>
      <w:r>
        <w:rPr>
          <w:rFonts w:ascii="Times New Roman" w:hAnsi="Times New Roman" w:cs="Times New Roman"/>
          <w:sz w:val="24"/>
          <w:szCs w:val="24"/>
        </w:rPr>
        <w:t>-31.</w:t>
      </w:r>
    </w:p>
    <w:p w:rsidR="009572CA" w:rsidRPr="00276FC8" w:rsidRDefault="009572CA" w:rsidP="009572CA">
      <w:pPr>
        <w:rPr>
          <w:rFonts w:ascii="Times New Roman" w:hAnsi="Times New Roman" w:cs="Times New Roman"/>
          <w:b/>
          <w:sz w:val="24"/>
          <w:szCs w:val="24"/>
        </w:rPr>
      </w:pPr>
      <w:r w:rsidRPr="00276FC8">
        <w:rPr>
          <w:rFonts w:ascii="Times New Roman" w:hAnsi="Times New Roman" w:cs="Times New Roman"/>
          <w:b/>
          <w:sz w:val="24"/>
          <w:szCs w:val="24"/>
        </w:rPr>
        <w:t>Question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lastRenderedPageBreak/>
        <w:t>Which of the patient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6FC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medications could cause a false-</w:t>
      </w:r>
      <w:r w:rsidRPr="00276FC8">
        <w:rPr>
          <w:rFonts w:ascii="Times New Roman" w:hAnsi="Times New Roman" w:cs="Times New Roman"/>
          <w:sz w:val="24"/>
          <w:szCs w:val="24"/>
        </w:rPr>
        <w:t>positive galactomannan assay result in this patient?</w:t>
      </w:r>
    </w:p>
    <w:p w:rsidR="009572CA" w:rsidRPr="00276FC8" w:rsidRDefault="009572CA" w:rsidP="00957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Cyclosporine</w:t>
      </w:r>
    </w:p>
    <w:p w:rsidR="009572CA" w:rsidRPr="00276FC8" w:rsidRDefault="009572CA" w:rsidP="00957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Oxycodone</w:t>
      </w:r>
    </w:p>
    <w:p w:rsidR="009572CA" w:rsidRPr="00276FC8" w:rsidRDefault="009572CA" w:rsidP="00957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76FC8">
        <w:rPr>
          <w:rFonts w:ascii="Times New Roman" w:hAnsi="Times New Roman" w:cs="Times New Roman"/>
          <w:sz w:val="24"/>
          <w:szCs w:val="24"/>
        </w:rPr>
        <w:t>azobactam</w:t>
      </w:r>
      <w:proofErr w:type="spellEnd"/>
    </w:p>
    <w:p w:rsidR="009572CA" w:rsidRPr="00276FC8" w:rsidRDefault="009572CA" w:rsidP="00957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Tobramycin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76FC8">
        <w:rPr>
          <w:rFonts w:ascii="Times New Roman" w:hAnsi="Times New Roman" w:cs="Times New Roman"/>
          <w:sz w:val="24"/>
          <w:szCs w:val="24"/>
        </w:rPr>
        <w:t>azobactam</w:t>
      </w:r>
      <w:proofErr w:type="spellEnd"/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Rationale: Semisynthetic antibiotics such as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, amoxicillin, and </w:t>
      </w:r>
      <w:r w:rsidRPr="0079231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amoxicillin</w:t>
      </w:r>
      <w:r w:rsidRPr="0079231E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/</w:t>
      </w:r>
      <w:proofErr w:type="spellStart"/>
      <w:r w:rsidRPr="0079231E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clavulanate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, which are based on natural compounds derived from the genus </w:t>
      </w:r>
      <w:proofErr w:type="spellStart"/>
      <w:r w:rsidRPr="0079231E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>, cross-react with the rat EBA-2 monoclonal antibody used in the assay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FC8">
        <w:rPr>
          <w:rFonts w:ascii="Times New Roman" w:hAnsi="Times New Roman" w:cs="Times New Roman"/>
          <w:sz w:val="24"/>
          <w:szCs w:val="24"/>
        </w:rPr>
        <w:t xml:space="preserve"> The occurrence of false-positive galactomannan assay results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276FC8">
        <w:rPr>
          <w:rFonts w:ascii="Times New Roman" w:hAnsi="Times New Roman" w:cs="Times New Roman"/>
          <w:sz w:val="24"/>
          <w:szCs w:val="24"/>
        </w:rPr>
        <w:t xml:space="preserve"> treatment with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should be considered in patients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276FC8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276FC8">
        <w:rPr>
          <w:rFonts w:ascii="Times New Roman" w:hAnsi="Times New Roman" w:cs="Times New Roman"/>
          <w:sz w:val="24"/>
          <w:szCs w:val="24"/>
        </w:rPr>
        <w:t xml:space="preserve">clinical findings associated with invasive </w:t>
      </w:r>
      <w:r w:rsidRPr="0079231E">
        <w:rPr>
          <w:rFonts w:ascii="Times New Roman" w:hAnsi="Times New Roman" w:cs="Times New Roman"/>
          <w:i/>
          <w:sz w:val="24"/>
          <w:szCs w:val="24"/>
        </w:rPr>
        <w:t>Aspergillus</w:t>
      </w:r>
      <w:r w:rsidRPr="00276FC8">
        <w:rPr>
          <w:rFonts w:ascii="Times New Roman" w:hAnsi="Times New Roman" w:cs="Times New Roman"/>
          <w:sz w:val="24"/>
          <w:szCs w:val="24"/>
        </w:rPr>
        <w:t xml:space="preserve"> infection.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  <w:r w:rsidRPr="00276FC8">
        <w:rPr>
          <w:rFonts w:ascii="Times New Roman" w:hAnsi="Times New Roman" w:cs="Times New Roman"/>
          <w:sz w:val="24"/>
          <w:szCs w:val="24"/>
        </w:rPr>
        <w:t xml:space="preserve">Citation: </w:t>
      </w:r>
      <w:r>
        <w:rPr>
          <w:rFonts w:ascii="Times New Roman" w:hAnsi="Times New Roman" w:cs="Times New Roman"/>
          <w:sz w:val="24"/>
          <w:szCs w:val="24"/>
        </w:rPr>
        <w:t xml:space="preserve">Adam O, </w:t>
      </w:r>
      <w:proofErr w:type="spellStart"/>
      <w:r>
        <w:rPr>
          <w:rFonts w:ascii="Times New Roman" w:hAnsi="Times New Roman" w:cs="Times New Roman"/>
          <w:sz w:val="24"/>
          <w:szCs w:val="24"/>
        </w:rPr>
        <w:t>Aupérin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Wilquin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et al. </w:t>
      </w:r>
      <w:r w:rsidRPr="00276FC8">
        <w:rPr>
          <w:rFonts w:ascii="Times New Roman" w:hAnsi="Times New Roman" w:cs="Times New Roman"/>
          <w:sz w:val="24"/>
          <w:szCs w:val="24"/>
        </w:rPr>
        <w:t xml:space="preserve">Treatment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>iperacillin-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76FC8">
        <w:rPr>
          <w:rFonts w:ascii="Times New Roman" w:hAnsi="Times New Roman" w:cs="Times New Roman"/>
          <w:sz w:val="24"/>
          <w:szCs w:val="24"/>
        </w:rPr>
        <w:t>azobactam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76FC8">
        <w:rPr>
          <w:rFonts w:ascii="Times New Roman" w:hAnsi="Times New Roman" w:cs="Times New Roman"/>
          <w:sz w:val="24"/>
          <w:szCs w:val="24"/>
        </w:rPr>
        <w:t>alse-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 xml:space="preserve">ositive </w:t>
      </w:r>
      <w:proofErr w:type="spellStart"/>
      <w:r w:rsidRPr="00A41DE6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76FC8">
        <w:rPr>
          <w:rFonts w:ascii="Times New Roman" w:hAnsi="Times New Roman" w:cs="Times New Roman"/>
          <w:sz w:val="24"/>
          <w:szCs w:val="24"/>
        </w:rPr>
        <w:t xml:space="preserve">alactomannan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FC8">
        <w:rPr>
          <w:rFonts w:ascii="Times New Roman" w:hAnsi="Times New Roman" w:cs="Times New Roman"/>
          <w:sz w:val="24"/>
          <w:szCs w:val="24"/>
        </w:rPr>
        <w:t xml:space="preserve">ntigen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76FC8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76FC8">
        <w:rPr>
          <w:rFonts w:ascii="Times New Roman" w:hAnsi="Times New Roman" w:cs="Times New Roman"/>
          <w:sz w:val="24"/>
          <w:szCs w:val="24"/>
        </w:rPr>
        <w:t xml:space="preserve">esults for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6FC8">
        <w:rPr>
          <w:rFonts w:ascii="Times New Roman" w:hAnsi="Times New Roman" w:cs="Times New Roman"/>
          <w:sz w:val="24"/>
          <w:szCs w:val="24"/>
        </w:rPr>
        <w:t xml:space="preserve">atients with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76FC8">
        <w:rPr>
          <w:rFonts w:ascii="Times New Roman" w:hAnsi="Times New Roman" w:cs="Times New Roman"/>
          <w:sz w:val="24"/>
          <w:szCs w:val="24"/>
        </w:rPr>
        <w:t xml:space="preserve">ematological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76FC8">
        <w:rPr>
          <w:rFonts w:ascii="Times New Roman" w:hAnsi="Times New Roman" w:cs="Times New Roman"/>
          <w:sz w:val="24"/>
          <w:szCs w:val="24"/>
        </w:rPr>
        <w:t xml:space="preserve">alignancies. </w:t>
      </w:r>
      <w:proofErr w:type="spellStart"/>
      <w:r w:rsidRPr="00276FC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276FC8">
        <w:rPr>
          <w:rFonts w:ascii="Times New Roman" w:hAnsi="Times New Roman" w:cs="Times New Roman"/>
          <w:sz w:val="24"/>
          <w:szCs w:val="24"/>
        </w:rPr>
        <w:t xml:space="preserve"> Infect Dis </w:t>
      </w:r>
      <w:r>
        <w:rPr>
          <w:rFonts w:ascii="Times New Roman" w:hAnsi="Times New Roman" w:cs="Times New Roman"/>
          <w:sz w:val="24"/>
          <w:szCs w:val="24"/>
        </w:rPr>
        <w:t>2004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276FC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6FC8">
        <w:rPr>
          <w:rFonts w:ascii="Times New Roman" w:hAnsi="Times New Roman" w:cs="Times New Roman"/>
          <w:sz w:val="24"/>
          <w:szCs w:val="24"/>
        </w:rPr>
        <w:t>917</w:t>
      </w:r>
      <w:proofErr w:type="gramEnd"/>
      <w:r w:rsidRPr="00276FC8">
        <w:rPr>
          <w:rFonts w:ascii="Times New Roman" w:hAnsi="Times New Roman" w:cs="Times New Roman"/>
          <w:sz w:val="24"/>
          <w:szCs w:val="24"/>
        </w:rPr>
        <w:t>-20.</w:t>
      </w:r>
    </w:p>
    <w:p w:rsidR="009572CA" w:rsidRPr="00276FC8" w:rsidRDefault="009572CA" w:rsidP="009572CA">
      <w:pPr>
        <w:rPr>
          <w:rFonts w:ascii="Times New Roman" w:hAnsi="Times New Roman" w:cs="Times New Roman"/>
          <w:sz w:val="24"/>
          <w:szCs w:val="24"/>
        </w:rPr>
      </w:pPr>
    </w:p>
    <w:p w:rsidR="00695B6C" w:rsidRDefault="00851B1C"/>
    <w:sectPr w:rsidR="0069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2E"/>
    <w:multiLevelType w:val="hybridMultilevel"/>
    <w:tmpl w:val="DB9EC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3D58"/>
    <w:multiLevelType w:val="hybridMultilevel"/>
    <w:tmpl w:val="3EB6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675"/>
    <w:multiLevelType w:val="hybridMultilevel"/>
    <w:tmpl w:val="A6AA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715F"/>
    <w:multiLevelType w:val="hybridMultilevel"/>
    <w:tmpl w:val="1DEC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5394C"/>
    <w:multiLevelType w:val="hybridMultilevel"/>
    <w:tmpl w:val="D24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CA"/>
    <w:rsid w:val="00851B1C"/>
    <w:rsid w:val="009572CA"/>
    <w:rsid w:val="00B85057"/>
    <w:rsid w:val="00E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72CA"/>
    <w:rPr>
      <w:b/>
      <w:bCs/>
      <w:i w:val="0"/>
      <w:iCs w:val="0"/>
    </w:rPr>
  </w:style>
  <w:style w:type="character" w:customStyle="1" w:styleId="st1">
    <w:name w:val="st1"/>
    <w:basedOn w:val="DefaultParagraphFont"/>
    <w:rsid w:val="0095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72CA"/>
    <w:rPr>
      <w:b/>
      <w:bCs/>
      <w:i w:val="0"/>
      <w:iCs w:val="0"/>
    </w:rPr>
  </w:style>
  <w:style w:type="character" w:customStyle="1" w:styleId="st1">
    <w:name w:val="st1"/>
    <w:basedOn w:val="DefaultParagraphFont"/>
    <w:rsid w:val="0095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Kucera</dc:creator>
  <cp:lastModifiedBy>missy</cp:lastModifiedBy>
  <cp:revision>2</cp:revision>
  <dcterms:created xsi:type="dcterms:W3CDTF">2017-07-09T22:44:00Z</dcterms:created>
  <dcterms:modified xsi:type="dcterms:W3CDTF">2017-07-09T22:44:00Z</dcterms:modified>
</cp:coreProperties>
</file>